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3A168">
      <w:pPr>
        <w:spacing w:line="5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68EBD1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5CF749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北京市东城区对外联络服务办公室</w:t>
      </w:r>
    </w:p>
    <w:p w14:paraId="4066805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 w14:paraId="676667AE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 w14:paraId="6757B46F">
      <w:pPr>
        <w:spacing w:line="560" w:lineRule="exact"/>
        <w:jc w:val="center"/>
        <w:rPr>
          <w:sz w:val="44"/>
          <w:szCs w:val="44"/>
        </w:rPr>
      </w:pPr>
    </w:p>
    <w:p w14:paraId="75F2F43F"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21C7EE71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69B8AB82">
      <w:pPr>
        <w:widowControl/>
        <w:spacing w:line="560" w:lineRule="exact"/>
        <w:ind w:firstLine="672" w:firstLineChars="200"/>
        <w:jc w:val="left"/>
        <w:rPr>
          <w:rFonts w:hint="eastAsia" w:eastAsia="仿宋_GB2312"/>
          <w:spacing w:val="8"/>
          <w:kern w:val="0"/>
          <w:sz w:val="32"/>
          <w:szCs w:val="32"/>
        </w:rPr>
      </w:pPr>
      <w:r>
        <w:rPr>
          <w:rFonts w:hint="eastAsia" w:eastAsia="仿宋_GB2312"/>
          <w:spacing w:val="8"/>
          <w:kern w:val="0"/>
          <w:sz w:val="32"/>
          <w:szCs w:val="32"/>
        </w:rPr>
        <w:t>2025年，北京市东城区对外联络服务办公室（以下简称“区外联办”）始终坚持以习近平新时代中国特色社会主义思想为根本遵循，在区委、区政府的正确领导和统一部署下，</w:t>
      </w:r>
      <w:r>
        <w:rPr>
          <w:rFonts w:hint="eastAsia" w:eastAsia="仿宋_GB2312"/>
          <w:spacing w:val="8"/>
          <w:kern w:val="0"/>
          <w:sz w:val="32"/>
          <w:szCs w:val="32"/>
          <w:lang w:eastAsia="zh-CN"/>
        </w:rPr>
        <w:t>在区政数局具体指导下，</w:t>
      </w:r>
      <w:r>
        <w:rPr>
          <w:rFonts w:hint="eastAsia" w:eastAsia="仿宋_GB2312"/>
          <w:spacing w:val="8"/>
          <w:kern w:val="0"/>
          <w:sz w:val="32"/>
          <w:szCs w:val="32"/>
        </w:rPr>
        <w:t>深入贯彻落实《中华人民共和国政府信息公开条例》等相关规定，立足核心职能，将政府信息公开工作作为推进依法行政、提升治理效能、增进民生福祉的重要抓手，持续健全工作机制、规范公开流程、拓宽公开渠道，以更高标准、更严要求推动信息公开工作提质增效，切实保障公众的知情权、参与权和监督权，为区域高质量发展营造了公开透明、规范有序的政务环境。</w:t>
      </w:r>
    </w:p>
    <w:p w14:paraId="449D7F98">
      <w:pPr>
        <w:widowControl/>
        <w:spacing w:line="560" w:lineRule="exact"/>
        <w:ind w:firstLine="672" w:firstLineChars="200"/>
        <w:jc w:val="left"/>
        <w:rPr>
          <w:rFonts w:hint="eastAsia" w:eastAsia="仿宋_GB2312"/>
          <w:spacing w:val="8"/>
          <w:kern w:val="0"/>
          <w:sz w:val="32"/>
          <w:szCs w:val="32"/>
        </w:rPr>
      </w:pPr>
      <w:r>
        <w:rPr>
          <w:rFonts w:hint="eastAsia" w:eastAsia="仿宋_GB2312"/>
          <w:spacing w:val="8"/>
          <w:kern w:val="0"/>
          <w:sz w:val="32"/>
          <w:szCs w:val="32"/>
        </w:rPr>
        <w:t xml:space="preserve"> 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  <w:lang w:eastAsia="zh-CN"/>
        </w:rPr>
        <w:t>一是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</w:rPr>
        <w:t>强化组织领导，筑牢工作根基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eastAsia="仿宋_GB2312"/>
          <w:spacing w:val="8"/>
          <w:kern w:val="0"/>
          <w:sz w:val="32"/>
          <w:szCs w:val="32"/>
        </w:rPr>
        <w:t>区外联办高度重视政府信息公开工作，将其纳入年度重点工作部署，严格遵循“统一领导、分级负责、协同推进”的工作原则，构建起“一把手”负总责、主管副职具体抓、综合科统筹协调、各业务科室分工落实的工作格局</w:t>
      </w:r>
      <w:r>
        <w:rPr>
          <w:rFonts w:hint="eastAsia" w:eastAsia="仿宋_GB2312"/>
          <w:spacing w:val="8"/>
          <w:kern w:val="0"/>
          <w:sz w:val="32"/>
          <w:szCs w:val="32"/>
          <w:lang w:eastAsia="zh-CN"/>
        </w:rPr>
        <w:t>，并在工作中</w:t>
      </w:r>
      <w:r>
        <w:rPr>
          <w:rFonts w:hint="eastAsia" w:eastAsia="仿宋_GB2312"/>
          <w:spacing w:val="8"/>
          <w:kern w:val="0"/>
          <w:sz w:val="32"/>
          <w:szCs w:val="32"/>
        </w:rPr>
        <w:t>指定</w:t>
      </w:r>
      <w:r>
        <w:rPr>
          <w:rFonts w:hint="eastAsia" w:eastAsia="仿宋_GB2312"/>
          <w:spacing w:val="8"/>
          <w:kern w:val="0"/>
          <w:sz w:val="32"/>
          <w:szCs w:val="32"/>
          <w:lang w:eastAsia="zh-CN"/>
        </w:rPr>
        <w:t>专人</w:t>
      </w:r>
      <w:r>
        <w:rPr>
          <w:rFonts w:hint="eastAsia" w:eastAsia="仿宋_GB2312"/>
          <w:spacing w:val="8"/>
          <w:kern w:val="0"/>
          <w:sz w:val="32"/>
          <w:szCs w:val="32"/>
        </w:rPr>
        <w:t>负责日常信息</w:t>
      </w:r>
      <w:r>
        <w:rPr>
          <w:rFonts w:hint="eastAsia" w:eastAsia="仿宋_GB2312"/>
          <w:spacing w:val="8"/>
          <w:kern w:val="0"/>
          <w:sz w:val="32"/>
          <w:szCs w:val="32"/>
          <w:lang w:eastAsia="zh-CN"/>
        </w:rPr>
        <w:t>收集、整理</w:t>
      </w:r>
      <w:r>
        <w:rPr>
          <w:rFonts w:hint="eastAsia" w:eastAsia="仿宋_GB2312"/>
          <w:spacing w:val="8"/>
          <w:kern w:val="0"/>
          <w:sz w:val="32"/>
          <w:szCs w:val="32"/>
        </w:rPr>
        <w:t>、</w:t>
      </w:r>
      <w:r>
        <w:rPr>
          <w:rFonts w:hint="eastAsia" w:eastAsia="仿宋_GB2312"/>
          <w:spacing w:val="8"/>
          <w:kern w:val="0"/>
          <w:sz w:val="32"/>
          <w:szCs w:val="32"/>
          <w:lang w:eastAsia="zh-CN"/>
        </w:rPr>
        <w:t>报</w:t>
      </w:r>
      <w:r>
        <w:rPr>
          <w:rFonts w:hint="eastAsia" w:eastAsia="仿宋_GB2312"/>
          <w:spacing w:val="8"/>
          <w:kern w:val="0"/>
          <w:sz w:val="32"/>
          <w:szCs w:val="32"/>
        </w:rPr>
        <w:t xml:space="preserve">审、发布等具体事务，形成了责任清晰、流程顺畅、运转高效的工作体系，为信息公开工作扎实开展提供了坚实的组织保障。 </w:t>
      </w:r>
    </w:p>
    <w:p w14:paraId="7F54E22C">
      <w:pPr>
        <w:widowControl/>
        <w:spacing w:line="560" w:lineRule="exact"/>
        <w:ind w:firstLine="672" w:firstLineChars="200"/>
        <w:jc w:val="left"/>
        <w:rPr>
          <w:rFonts w:hint="eastAsia" w:eastAsia="仿宋_GB2312"/>
          <w:spacing w:val="8"/>
          <w:kern w:val="0"/>
          <w:sz w:val="32"/>
          <w:szCs w:val="32"/>
        </w:rPr>
      </w:pP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  <w:lang w:eastAsia="zh-CN"/>
        </w:rPr>
        <w:t>二是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</w:rPr>
        <w:t>聚焦主动公开，提升服务效能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eastAsia="仿宋_GB2312"/>
          <w:spacing w:val="8"/>
          <w:kern w:val="0"/>
          <w:sz w:val="32"/>
          <w:szCs w:val="32"/>
        </w:rPr>
        <w:t xml:space="preserve">坚持“以公开为常态、不公开为例外”的原则，精准把握公众信息需求，持续优化主动公开内容供给。2025年度，区外联办累计主动公开政府信息10条，全文电子化率实现100%，确保公众能够便捷获取信息。公开内容紧密围绕“四个服务”、支援合作、对外联络等重点工作，动态更新业务工作动态及政府信息主动公开全清单，通过系统化、常态化的信息发布，展现部门履职成效，切实打通政务服务与公众需求的“最后一公里”，让公众更直观、全面地了解外联工作进展。 </w:t>
      </w:r>
    </w:p>
    <w:p w14:paraId="229CAC2B">
      <w:pPr>
        <w:widowControl/>
        <w:spacing w:line="560" w:lineRule="exact"/>
        <w:ind w:firstLine="672" w:firstLineChars="200"/>
        <w:jc w:val="left"/>
        <w:rPr>
          <w:rFonts w:hint="eastAsia" w:eastAsia="仿宋_GB2312"/>
          <w:spacing w:val="8"/>
          <w:kern w:val="0"/>
          <w:sz w:val="32"/>
          <w:szCs w:val="32"/>
        </w:rPr>
      </w:pP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</w:rPr>
        <w:t>三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  <w:lang w:eastAsia="zh-CN"/>
        </w:rPr>
        <w:t>是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</w:rPr>
        <w:t>规范依申请公开，优化办理流程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eastAsia="仿宋_GB2312"/>
          <w:spacing w:val="8"/>
          <w:kern w:val="0"/>
          <w:sz w:val="32"/>
          <w:szCs w:val="32"/>
        </w:rPr>
        <w:t>始终将依申请公开工作作为保障公众合法权益的重要途径，不断完善申请接收、登记、审核、办理、答复、归档全流程闭环管理机制，细化工作标准、明确办理时限、规范答复格式，着力提升依申请公开工作的专业化、规范化水平。2025年度，区外联办未收到新的政府信息公开申请，无上年结转申请事项，相关工作保持平稳有序态势。</w:t>
      </w:r>
    </w:p>
    <w:p w14:paraId="20DADE25">
      <w:pPr>
        <w:widowControl/>
        <w:spacing w:line="560" w:lineRule="exact"/>
        <w:ind w:firstLine="672" w:firstLineChars="200"/>
        <w:jc w:val="left"/>
        <w:rPr>
          <w:rFonts w:hint="eastAsia" w:eastAsia="仿宋_GB2312"/>
          <w:spacing w:val="8"/>
          <w:kern w:val="0"/>
          <w:sz w:val="32"/>
          <w:szCs w:val="32"/>
        </w:rPr>
      </w:pP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</w:rPr>
        <w:t>四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  <w:lang w:eastAsia="zh-CN"/>
        </w:rPr>
        <w:t>是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</w:rPr>
        <w:t>严格信息管理，筑牢安全防线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eastAsia="仿宋_GB2312"/>
          <w:spacing w:val="8"/>
          <w:kern w:val="0"/>
          <w:sz w:val="32"/>
          <w:szCs w:val="32"/>
        </w:rPr>
        <w:t>牢固树立“安全公开、规范公开”理念，严格执行政府信息公开保密审查制度，坚持“谁产生、谁审查、谁负责”的原则，对拟公开信息实行逐级审核、多层把关，全面排查涉密风险和不宜公开内容，确保公开信息的准确性、时效性和安全性。同时，持续加强政府信息公开平台建设，优化平台功能、规范信息分类，推动信息公开渠道标准化、规范化发展，为公众提供更优质的信息查询体验。</w:t>
      </w:r>
    </w:p>
    <w:p w14:paraId="448916AE">
      <w:pPr>
        <w:widowControl/>
        <w:spacing w:line="560" w:lineRule="exact"/>
        <w:ind w:firstLine="672" w:firstLineChars="200"/>
        <w:jc w:val="left"/>
        <w:rPr>
          <w:rFonts w:eastAsia="仿宋_GB2312"/>
          <w:spacing w:val="8"/>
          <w:kern w:val="0"/>
          <w:sz w:val="32"/>
          <w:szCs w:val="32"/>
        </w:rPr>
      </w:pP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  <w:lang w:eastAsia="zh-CN"/>
        </w:rPr>
        <w:t>五是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</w:rPr>
        <w:t>加强教育培训，强化监督保障</w:t>
      </w:r>
      <w:r>
        <w:rPr>
          <w:rFonts w:hint="eastAsia" w:ascii="国标楷体" w:hAnsi="国标楷体" w:eastAsia="国标楷体" w:cs="国标楷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eastAsia="仿宋_GB2312"/>
          <w:spacing w:val="8"/>
          <w:kern w:val="0"/>
          <w:sz w:val="32"/>
          <w:szCs w:val="32"/>
        </w:rPr>
        <w:t>注重提升干部队伍信息公开工作能力，积极组织相关人员参加</w:t>
      </w:r>
      <w:r>
        <w:rPr>
          <w:rFonts w:hint="eastAsia" w:eastAsia="仿宋_GB2312"/>
          <w:spacing w:val="8"/>
          <w:kern w:val="0"/>
          <w:sz w:val="32"/>
          <w:szCs w:val="32"/>
          <w:lang w:eastAsia="zh-CN"/>
        </w:rPr>
        <w:t>有关</w:t>
      </w:r>
      <w:r>
        <w:rPr>
          <w:rFonts w:hint="eastAsia" w:eastAsia="仿宋_GB2312"/>
          <w:spacing w:val="8"/>
          <w:kern w:val="0"/>
          <w:sz w:val="32"/>
          <w:szCs w:val="32"/>
        </w:rPr>
        <w:t>政府信息公开培训、业务交流，系统学习政策法规、工作流程和实操技能，不断增强干部的公开意识和业务素养。综合科充分发挥牵头抓总作用，通过定期提醒</w:t>
      </w:r>
      <w:r>
        <w:rPr>
          <w:rFonts w:hint="eastAsia" w:eastAsia="仿宋_GB2312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eastAsia="仿宋_GB2312"/>
          <w:spacing w:val="8"/>
          <w:kern w:val="0"/>
          <w:sz w:val="32"/>
          <w:szCs w:val="32"/>
        </w:rPr>
        <w:t>方式，推动各业务科室严格落实信息公开责任，确保各项工作部署落地见效、闭环落实，提升全办政府信息公开工作的整体水平。</w:t>
      </w:r>
    </w:p>
    <w:p w14:paraId="00E1B780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42324C9C">
      <w:pPr>
        <w:pStyle w:val="2"/>
        <w:rPr>
          <w:rFonts w:hint="eastAsia"/>
        </w:rPr>
      </w:pPr>
    </w:p>
    <w:p w14:paraId="5821CCE3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413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6500E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2498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B5EB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3483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AC2C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50DF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385C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2348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5CC8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4A3B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47B6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98B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908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4433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319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284B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531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ECE76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66DE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4FA5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E8D33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0B1F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C63D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BE86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55E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4CB91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4015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3291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805AE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11BC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E1F3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1894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69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ACBE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9BA1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53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3CB45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311E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3954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496C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2404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E31E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E9FFC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4A4EE3E">
      <w:pPr>
        <w:pStyle w:val="2"/>
        <w:numPr>
          <w:ilvl w:val="0"/>
          <w:numId w:val="0"/>
        </w:numPr>
        <w:rPr>
          <w:rFonts w:hint="eastAsia"/>
        </w:rPr>
      </w:pPr>
    </w:p>
    <w:p w14:paraId="5994D446"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p w14:paraId="4EDADB94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568515C6"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6D314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ADEC8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E294E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333B6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87167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7EA6A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934D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526D2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6AFE7D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D3467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93401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931E2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33B99E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AE55A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20431F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44919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3E2D2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B07E8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A519DC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F8BB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9917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310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F1C1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68FB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D300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D3F5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235A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0B4C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2D72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7E95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C7E2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D621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7A91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6C01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38B0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7A18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EFD9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A17D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C929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0355E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2070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8857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9F38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97DF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E23B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26E1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B34B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7C8D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A18C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8D928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DC77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856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6FF8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E3B5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AE5D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B7ED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8864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F2A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11D29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AC0C5A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00A9C0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6C58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541D1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4FA5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4F1A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E8A8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B7249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87F9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B38F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FDC8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3E2A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D1D193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7237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78F9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2F687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6551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E03F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4DE0D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CB59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CC3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132A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D434C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8A0BA7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E796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CE10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0B250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2F482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36E3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49A2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7338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EC7BB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F279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20C0E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3D7521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37B7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5147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7E44B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1519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78280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5FEC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B394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62CF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FC25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6E05C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75EC52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9715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1C3A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EC37B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93F1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5E6B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3FCA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F32C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B3F7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2510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1BC3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19C5B6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0899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4F18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5F899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E3D96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73CF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506A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1E71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F1D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2DBB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EE1A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1CE56C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6F35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5EBE6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D34D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B707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34D7F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F7F0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99F29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AB27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A577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B736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B2FDA0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397A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BF25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3F68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E8F5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13EE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2EE8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4C33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F6F6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E814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8D59A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D4BB25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C96BE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CAB19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80200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3E96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6163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93BF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8C9C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5C8E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BC65D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58C4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5169E6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41A0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BB665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1CC12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4F5A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7480A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699E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9B40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0F373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7BA58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D632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F3A3E3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0074C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10CF5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36F4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C5BBB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DF94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B37F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1EA92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700F9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4C86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E45A8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FAAA0E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E674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EF04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91606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5309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7FFA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1197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BB8A9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334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0312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87A3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C09284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01FC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085B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01260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4DA53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5E76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9CD49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F39C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0C55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8038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CCB49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F0D450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29EF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2005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A3943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C517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BEAB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7BD5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2601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F67A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CE36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EAFF1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1D049B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D087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D481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0043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ED90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75CA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D38A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C59D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D79A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0C057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245A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858D1E7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D01D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A0A4A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7816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64BD0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BCB8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416D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1594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9CE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D35F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B8B71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E589AF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41EB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6979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81DA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0D89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475A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C5AF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275B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D721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877C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53901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D5ED63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A6F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1AE1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069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D62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ED4A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010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5879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AAD1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8D46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8AB5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E1B7F1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19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6040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DD8D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A248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166F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8A4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1055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70D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2692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FE52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7375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F9AD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325F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AE07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A3C7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B620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FCD01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3D65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A426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D14209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0E5D3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F2C429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D1DA80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744D20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AA036F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84F12A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64F06B3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4F7BD3E9">
      <w:pPr>
        <w:pStyle w:val="2"/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</w:rPr>
        <w:br w:type="textWrapping"/>
      </w:r>
    </w:p>
    <w:p w14:paraId="00F7C681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67AAD38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B5AD2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F0082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1041A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348774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2C8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B46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6DE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6DF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CDF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43E425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3E99E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2A7CFD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A968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AAEF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E444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BF45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1DBA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0F55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2ABA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4955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F21C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73CD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5DB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D7D2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E5C7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CBF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6A57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523C56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11E0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095E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B35E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9530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5D33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D1A5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C71C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F9D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737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B9D7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5E1A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8043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58E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D7D7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5A6866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A5AB2EB">
      <w:pPr>
        <w:widowControl/>
        <w:jc w:val="left"/>
      </w:pPr>
    </w:p>
    <w:p w14:paraId="275415A5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5363DBA2">
      <w:p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区外联办始终将政府信息公开工作作为践行法治政府建设要求、保障公众知情权的重要举措，严格对标相关规定扎实推进工作，但对照新时代政务公开工作的更高标准和公众日益多元的信息需求，仍存在一些亟待优化的薄弱环节。</w:t>
      </w:r>
    </w:p>
    <w:p w14:paraId="459EF122">
      <w:p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一是主动公开的前瞻性与精准性有待提升，围绕核心业务、重点工作的信息供给与公众实际需求的契合度不够紧密，对政策解读、工作成效等深层次信息的公开力度不足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3432F549">
      <w:p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二是信息公开的时效性与规范化水平仍需加强，部分动态类信息更新节奏未能完全跟上工作推进步伐，公开内容的分类梳理、格式规范等细节把控不够到位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065089EA">
      <w:pPr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三是队伍专业能力建设仍有提升空间，工作人员对信息公开政策法规的理解深度、实操规范的掌握熟练度有待强化，主动回应社会关切的意识和能力需进一步锤炼。</w:t>
      </w:r>
    </w:p>
    <w:p w14:paraId="5ACCE058"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 w14:paraId="6DBD2C69"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本单位依据《政府信息公开信息处理费管理办法》收取信息处理费，发出收费通知的件数和总金额以及实际收取的总金额均为0。</w:t>
      </w:r>
    </w:p>
    <w:p w14:paraId="216418FB">
      <w:pPr>
        <w:pStyle w:val="2"/>
        <w:spacing w:line="560" w:lineRule="exact"/>
        <w:ind w:firstLine="672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北京市东城区人民政府门户网站,网址为http://www.bjdch.gov.cn/，如需了解更多政府信息，请登录查询。</w:t>
      </w:r>
    </w:p>
    <w:p w14:paraId="7CED3216">
      <w:pPr>
        <w:pStyle w:val="2"/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0FD5FB6">
      <w:pPr>
        <w:pStyle w:val="2"/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575E5BE">
      <w:pPr>
        <w:pStyle w:val="2"/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CB23C5B">
      <w:pPr>
        <w:pStyle w:val="2"/>
        <w:spacing w:line="56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北京市东城区对外联络服务办公室</w:t>
      </w:r>
    </w:p>
    <w:p w14:paraId="76361B18">
      <w:pPr>
        <w:pStyle w:val="2"/>
        <w:spacing w:line="560" w:lineRule="exact"/>
        <w:jc w:val="right"/>
        <w:rPr>
          <w:rFonts w:hint="eastAsia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年1月15日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919B2"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9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569A5EE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A6985"/>
    <w:multiLevelType w:val="singleLevel"/>
    <w:tmpl w:val="97EA698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A700A"/>
    <w:rsid w:val="00FE0CBB"/>
    <w:rsid w:val="015E68D1"/>
    <w:rsid w:val="01D0041C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85B374C"/>
    <w:rsid w:val="09BA5C05"/>
    <w:rsid w:val="0A5449BD"/>
    <w:rsid w:val="0B6017B9"/>
    <w:rsid w:val="0DB23146"/>
    <w:rsid w:val="0EE37632"/>
    <w:rsid w:val="10F70AE6"/>
    <w:rsid w:val="11935B60"/>
    <w:rsid w:val="11EC0FF2"/>
    <w:rsid w:val="123654D6"/>
    <w:rsid w:val="125664A3"/>
    <w:rsid w:val="12DA4F7E"/>
    <w:rsid w:val="15042E03"/>
    <w:rsid w:val="16176ECF"/>
    <w:rsid w:val="168C2214"/>
    <w:rsid w:val="186F5E9F"/>
    <w:rsid w:val="19B74C1D"/>
    <w:rsid w:val="1C222D36"/>
    <w:rsid w:val="1C47275C"/>
    <w:rsid w:val="1C850733"/>
    <w:rsid w:val="1DBE6FEE"/>
    <w:rsid w:val="1DE37776"/>
    <w:rsid w:val="1FD01E46"/>
    <w:rsid w:val="200B59E9"/>
    <w:rsid w:val="2039313C"/>
    <w:rsid w:val="20F4351F"/>
    <w:rsid w:val="21EE06C0"/>
    <w:rsid w:val="220E5FDF"/>
    <w:rsid w:val="23B53941"/>
    <w:rsid w:val="26B92096"/>
    <w:rsid w:val="26DC5ACE"/>
    <w:rsid w:val="275C569C"/>
    <w:rsid w:val="28EC21AD"/>
    <w:rsid w:val="28F13CC0"/>
    <w:rsid w:val="29284F7F"/>
    <w:rsid w:val="293D7A75"/>
    <w:rsid w:val="2AA7627A"/>
    <w:rsid w:val="2B9844FA"/>
    <w:rsid w:val="2D047420"/>
    <w:rsid w:val="2D25458F"/>
    <w:rsid w:val="2D35073C"/>
    <w:rsid w:val="2DAC4159"/>
    <w:rsid w:val="2F2B43BA"/>
    <w:rsid w:val="30806B9E"/>
    <w:rsid w:val="316B1BA5"/>
    <w:rsid w:val="33A10D3B"/>
    <w:rsid w:val="34B11EE1"/>
    <w:rsid w:val="35E04767"/>
    <w:rsid w:val="36364643"/>
    <w:rsid w:val="36996009"/>
    <w:rsid w:val="37242B85"/>
    <w:rsid w:val="37342E1F"/>
    <w:rsid w:val="379F3AAA"/>
    <w:rsid w:val="37B82A79"/>
    <w:rsid w:val="37D261A1"/>
    <w:rsid w:val="38477332"/>
    <w:rsid w:val="39C84EDD"/>
    <w:rsid w:val="3A3D4E9C"/>
    <w:rsid w:val="3BA06262"/>
    <w:rsid w:val="3C8342D6"/>
    <w:rsid w:val="3D0059A4"/>
    <w:rsid w:val="3F8024B0"/>
    <w:rsid w:val="3F827426"/>
    <w:rsid w:val="408A4515"/>
    <w:rsid w:val="41336AA7"/>
    <w:rsid w:val="41A82BB0"/>
    <w:rsid w:val="44F32561"/>
    <w:rsid w:val="46957D4E"/>
    <w:rsid w:val="472D6E53"/>
    <w:rsid w:val="47B972B3"/>
    <w:rsid w:val="48624CD1"/>
    <w:rsid w:val="4AA71688"/>
    <w:rsid w:val="4B1D1510"/>
    <w:rsid w:val="4C6F71B7"/>
    <w:rsid w:val="4CB06383"/>
    <w:rsid w:val="4E7735C7"/>
    <w:rsid w:val="4FCC31D7"/>
    <w:rsid w:val="50621E6E"/>
    <w:rsid w:val="51FD0EA1"/>
    <w:rsid w:val="52D43103"/>
    <w:rsid w:val="554524F7"/>
    <w:rsid w:val="55805A3F"/>
    <w:rsid w:val="57A713D9"/>
    <w:rsid w:val="58E20764"/>
    <w:rsid w:val="59FA0BA4"/>
    <w:rsid w:val="5C85343F"/>
    <w:rsid w:val="5E011730"/>
    <w:rsid w:val="5FB55714"/>
    <w:rsid w:val="609A09EE"/>
    <w:rsid w:val="60EA3D13"/>
    <w:rsid w:val="60F2511B"/>
    <w:rsid w:val="616E3D42"/>
    <w:rsid w:val="633C39DB"/>
    <w:rsid w:val="63847E28"/>
    <w:rsid w:val="64690D42"/>
    <w:rsid w:val="64972B08"/>
    <w:rsid w:val="65432745"/>
    <w:rsid w:val="65BC7B5B"/>
    <w:rsid w:val="66D7084A"/>
    <w:rsid w:val="67037D1B"/>
    <w:rsid w:val="671C17CC"/>
    <w:rsid w:val="674C7846"/>
    <w:rsid w:val="67716B82"/>
    <w:rsid w:val="683F3FB4"/>
    <w:rsid w:val="68917716"/>
    <w:rsid w:val="68B1527B"/>
    <w:rsid w:val="69D46E61"/>
    <w:rsid w:val="6B4C7395"/>
    <w:rsid w:val="6D0E597B"/>
    <w:rsid w:val="6DC72BAB"/>
    <w:rsid w:val="6E8C5810"/>
    <w:rsid w:val="70222C83"/>
    <w:rsid w:val="719F284F"/>
    <w:rsid w:val="71B5409B"/>
    <w:rsid w:val="727212E6"/>
    <w:rsid w:val="74610F82"/>
    <w:rsid w:val="75342D58"/>
    <w:rsid w:val="77776320"/>
    <w:rsid w:val="77921B28"/>
    <w:rsid w:val="789D3289"/>
    <w:rsid w:val="791447EC"/>
    <w:rsid w:val="793566B3"/>
    <w:rsid w:val="79EA0AFF"/>
    <w:rsid w:val="7BDF75D6"/>
    <w:rsid w:val="7BF14DE3"/>
    <w:rsid w:val="7C666463"/>
    <w:rsid w:val="7C8E6D8A"/>
    <w:rsid w:val="7F4B253A"/>
    <w:rsid w:val="7FF72A7D"/>
    <w:rsid w:val="B78F5349"/>
    <w:rsid w:val="BA9F5E5B"/>
    <w:rsid w:val="BADF8310"/>
    <w:rsid w:val="D4DBF510"/>
    <w:rsid w:val="F9DE2A07"/>
    <w:rsid w:val="FDEF6402"/>
    <w:rsid w:val="FDF33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link w:val="11"/>
    <w:unhideWhenUsed/>
    <w:qFormat/>
    <w:uiPriority w:val="1"/>
    <w:rPr>
      <w:rFonts w:ascii="Tahoma" w:hAnsi="Tahoma"/>
      <w:sz w:val="24"/>
      <w:szCs w:val="20"/>
    </w:rPr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 Char Char1"/>
    <w:basedOn w:val="1"/>
    <w:link w:val="10"/>
    <w:qFormat/>
    <w:uiPriority w:val="0"/>
    <w:rPr>
      <w:rFonts w:ascii="Tahoma" w:hAnsi="Tahoma"/>
      <w:sz w:val="24"/>
      <w:szCs w:val="20"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Hyperlink"/>
    <w:basedOn w:val="10"/>
    <w:unhideWhenUsed/>
    <w:qFormat/>
    <w:uiPriority w:val="0"/>
    <w:rPr>
      <w:color w:val="000000"/>
      <w:u w:val="none"/>
    </w:rPr>
  </w:style>
  <w:style w:type="paragraph" w:customStyle="1" w:styleId="14">
    <w:name w:val="_Style 6"/>
    <w:basedOn w:val="1"/>
    <w:qFormat/>
    <w:uiPriority w:val="0"/>
    <w:rPr>
      <w:szCs w:val="20"/>
    </w:rPr>
  </w:style>
  <w:style w:type="paragraph" w:customStyle="1" w:styleId="15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3917</Words>
  <Characters>4124</Characters>
  <Lines>7</Lines>
  <Paragraphs>2</Paragraphs>
  <TotalTime>0</TotalTime>
  <ScaleCrop>false</ScaleCrop>
  <LinksUpToDate>false</LinksUpToDate>
  <CharactersWithSpaces>4374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2019-03-23T18:11:00Z</dcterms:created>
  <dc:creator>李曼</dc:creator>
  <cp:lastModifiedBy>huawei</cp:lastModifiedBy>
  <cp:lastPrinted>2019-10-13T16:27:00Z</cp:lastPrinted>
  <dcterms:modified xsi:type="dcterms:W3CDTF">2026-01-19T16:42:33Z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eyJoZGlkIjoiMjQ4OWM2OWVkZGFiYjIwYWExYmU2YTc1NDEzNjk5YzciLCJ1c2VySWQiOiI2Mzc1MDI3OTEifQ==</vt:lpwstr>
  </property>
  <property fmtid="{D5CDD505-2E9C-101B-9397-08002B2CF9AE}" pid="4" name="ICV">
    <vt:lpwstr>5631438086EF44809357652F5948756C_12</vt:lpwstr>
  </property>
</Properties>
</file>