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建国门街道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年政府信息公开</w:t>
      </w:r>
    </w:p>
    <w:p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rFonts w:ascii="Times New Roman" w:hAnsi="Times New Roman"/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Times New Roman" w:hAnsi="Times New Roman" w:eastAsia="黑体" w:cs="宋体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2025年，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建国门街道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严格贯彻落实《中华人民共和国政府信息公开条例》及市、区相关部署，紧紧围绕街道中心工作与公众关切，持续深化公开内容，强化制度保障，着力提升工作规范化、标准化水平，切实保障公众知情权、参与权与监督权，助力透明、法治、服务型政府建设。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强化组织领导，完善工作机制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充实政府信息公开工作领导小组，明确主要领导负总责、分管领导具体抓、责任科室抓落实的工作格局。将信息公开纳入年度重点任务，定期研究部署，确保责任到位、措施有效。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（二）深化主动公开，拓展内容维度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在履行法定公开义务基础上，聚焦重点领域与社会关切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及时公开街道重点工作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细化公开基层治理、社区服务、城市管理、社会保障等民生信息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全年公开各类信息</w:t>
      </w:r>
      <w:r>
        <w:rPr>
          <w:rFonts w:hint="eastAsia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101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条。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（三）规范依申请公开，保障合法权益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健全依申请公开全流程管理机制，畅通受理渠道，规范登记、审核、办理、答复与归档程序。加强疑难申请会商研判，确保答复依法依规、严谨准确，切实满足公民、法人和其他组织的合理信息需求。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（四）加强信息管理，夯实公开基础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完善政府信息制作、获取、保存、公开等环节管理规范，严格执行信息公开前保密审查制度。定期清理失效信息，确保公开信息准确、安全、有序。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（五）优化平台建设，畅通公开渠道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强化政府网站作为第一平台功能，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提升内容质量。规范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微信公众号等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新媒体运营管理，发挥其灵活便捷优势。综合利用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街道便民服务中心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实体平台，推动线上线下融合，提升信息公开覆盖面与便捷性。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（六）开展教育培训，提升业务能力</w:t>
      </w:r>
    </w:p>
    <w:p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将《条例》及配套制度纳入干部日常学习与专项培训，通过案例研讨、业务交流等形式，重点提升工作人员政策把握、公开实务、舆情应对及保密防范能力，筑牢工作队伍基础。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（七）严格监督保障，确保工作实效</w:t>
      </w:r>
    </w:p>
    <w:p>
      <w:pPr>
        <w:widowControl/>
        <w:spacing w:line="560" w:lineRule="exact"/>
        <w:ind w:firstLine="675"/>
        <w:jc w:val="left"/>
        <w:rPr>
          <w:rFonts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完善内部督查与考核机制，定期开展自查整改。主动接受社会监督，畅通投诉反馈渠道。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/>
        </w:rPr>
      </w:pPr>
    </w:p>
    <w:tbl>
      <w:tblPr>
        <w:tblStyle w:val="8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Times New Roman" w:hAnsi="Times New Roma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收到和处理政府信息公开申请情况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 w:ascii="Times New Roman" w:hAnsi="Times New Roman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textWrapping"/>
      </w:r>
    </w:p>
    <w:p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Times New Roman" w:hAnsi="Times New Roman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Times New Roman" w:hAnsi="Times New Roman" w:cs="宋体"/>
          <w:spacing w:val="8"/>
          <w:kern w:val="0"/>
          <w:sz w:val="24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2025年，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政府信息公开工作虽取得一定进展，但对照《条例》要求、上级工作部署及公众日益增长的信息需求，仍存在一些亟待改进的不足。我们坚持问题导向，实事求是剖析，并积极采取措施加以改进。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（一）存在的主要问题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公开内容深度与实用性有待增强。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部分主动公开信息仍偏重于工作动态、程序性发布，对政策出台的背景依据、执行标准、惠民利企的具体举措及其实际成效的解读和展示不够深入、具体。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内部协调与常态化管理机制有待夯实。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各科室在信息提供、政策解读素材准备方面的主动性、时效性存在差异，业务工作与公开工作同步谋划、同步推进的衔接机制需进一步强化。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队伍专业化能力与公众沟通技巧有待提升。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面对涉及多领域、专业性较强的信息公开申请或复杂舆情咨询时，部分工作人员在精准把握公开界限、运用通俗易懂语言进行解释说明、有效引导社会预期方面，存在能力短板和创新意识不足。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针对上述问题，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在2025年度工作中已着手进行改进，并持续推进：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着力深化公开内容，提升服务实效。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围绕年度重点民生项目、优化营商环境措施等，要求责任科室在提供信息时同步提交“政策核心要点”和“惠民便企实例”素材。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健全内部工作机制，强化流程管理。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明确各科室信息提供责任人及时限要求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建立办公室牵头、各科室配合的季度信息梳理与更新机制。</w:t>
      </w:r>
    </w:p>
    <w:p>
      <w:pPr>
        <w:widowControl/>
        <w:spacing w:line="560" w:lineRule="exact"/>
        <w:ind w:firstLine="675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宋体"/>
          <w:b/>
          <w:bCs/>
          <w:spacing w:val="8"/>
          <w:kern w:val="0"/>
          <w:sz w:val="32"/>
          <w:szCs w:val="32"/>
        </w:rPr>
        <w:t>加强针对性培训指导，提升履职能力。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年内组织开展专题培训。建立复杂疑难信息公开申请由</w:t>
      </w:r>
      <w:r>
        <w:rPr>
          <w:rFonts w:hint="eastAsia" w:eastAsia="仿宋_GB2312" w:cs="宋体"/>
          <w:spacing w:val="8"/>
          <w:kern w:val="0"/>
          <w:sz w:val="32"/>
          <w:szCs w:val="32"/>
          <w:lang w:val="en-US" w:eastAsia="zh-CN"/>
        </w:rPr>
        <w:t>综合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办公室牵头、法律顾问及相关业务科室共同会商的工作模式。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下一步，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将持续关注并着力解决工作中的薄弱环节，以更务实的态度、更有效的举措，不断提升政府信息公开工作的质量和水平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Times New Roman" w:hAnsi="Times New Roman" w:cs="宋体"/>
          <w:spacing w:val="8"/>
          <w:kern w:val="0"/>
          <w:sz w:val="32"/>
          <w:szCs w:val="32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eastAsia="仿宋_GB2312" w:cs="宋体"/>
          <w:spacing w:val="8"/>
          <w:kern w:val="0"/>
          <w:sz w:val="32"/>
          <w:szCs w:val="32"/>
          <w:lang w:val="en-US" w:eastAsia="zh-CN"/>
        </w:rPr>
        <w:t>2025年街道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发出收费通知的件数</w:t>
      </w:r>
      <w:r>
        <w:rPr>
          <w:rFonts w:hint="eastAsia" w:eastAsia="仿宋_GB2312" w:cs="宋体"/>
          <w:spacing w:val="8"/>
          <w:kern w:val="0"/>
          <w:sz w:val="32"/>
          <w:szCs w:val="32"/>
          <w:lang w:val="en-US" w:eastAsia="zh-CN"/>
        </w:rPr>
        <w:t>为0，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总金额</w:t>
      </w:r>
      <w:r>
        <w:rPr>
          <w:rFonts w:hint="eastAsia" w:eastAsia="仿宋_GB2312" w:cs="宋体"/>
          <w:spacing w:val="8"/>
          <w:kern w:val="0"/>
          <w:sz w:val="32"/>
          <w:szCs w:val="32"/>
          <w:lang w:val="en-US" w:eastAsia="zh-CN"/>
        </w:rPr>
        <w:t>为0。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5B6B"/>
    <w:rsid w:val="0185343D"/>
    <w:rsid w:val="07F7316F"/>
    <w:rsid w:val="22DF5B6B"/>
    <w:rsid w:val="27452720"/>
    <w:rsid w:val="4D2A6E9B"/>
    <w:rsid w:val="510D70A6"/>
    <w:rsid w:val="58381F2B"/>
    <w:rsid w:val="5E8B17FA"/>
    <w:rsid w:val="605C6834"/>
    <w:rsid w:val="6F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both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2"/>
    </w:pPr>
    <w:rPr>
      <w:rFonts w:ascii="Times New Roman" w:hAnsi="Times New Roman" w:eastAsia="仿宋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2026-01-16T01:38:00Z</dcterms:created>
  <dc:creator>王猛</dc:creator>
  <cp:lastModifiedBy>王猛</cp:lastModifiedBy>
  <dcterms:modified xsi:type="dcterms:W3CDTF">2026-01-19T08:44:55Z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