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崇外街道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4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rFonts w:ascii="Times New Roman" w:hAnsi="Times New Roman"/>
          <w:sz w:val="44"/>
          <w:szCs w:val="44"/>
          <w:highlight w:val="none"/>
        </w:rPr>
      </w:pPr>
    </w:p>
    <w:p>
      <w:pPr>
        <w:widowControl/>
        <w:spacing w:line="560" w:lineRule="exact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Times New Roman" w:hAnsi="Times New Roman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微软雅黑" w:cs="宋体"/>
          <w:color w:val="40404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依据《中华人民共和国政府信息公开条例》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以下简称《政府信息公开条例》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Times New Roman" w:hAnsi="Times New Roman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宋体"/>
          <w:spacing w:val="8"/>
          <w:kern w:val="0"/>
          <w:sz w:val="32"/>
          <w:szCs w:val="32"/>
          <w:highlight w:val="none"/>
        </w:rPr>
        <w:t>一、总体情况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（一）组织领导</w:t>
      </w:r>
    </w:p>
    <w:p>
      <w:pPr>
        <w:pStyle w:val="2"/>
        <w:ind w:firstLine="698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崇外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街道高度重视政府信息公开工作，1名处级干部为主管领导，1名工作人员负责具体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工作，确保政务信息发布的规范性、及时性和准确性。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eastAsia="zh-CN"/>
        </w:rPr>
        <w:t>（二）主动公开</w:t>
      </w:r>
    </w:p>
    <w:p>
      <w:pPr>
        <w:pStyle w:val="2"/>
        <w:ind w:firstLine="698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年，崇外街道坚持“公开为常态、不公开为例外”的原则，不断提升政府信息公开实效和工作质量。在政府网站主动公开街道政务开放日活动、社会救助、单位内部比选公告、比选结果、行政处罚、街道动态等信息。及时更新街道概况、领导介绍等内容。按年度更新政府信息主动公开全清单；及时接听对外联系电话，确保对外联系电话畅通有效。</w:t>
      </w:r>
    </w:p>
    <w:p>
      <w:pPr>
        <w:pStyle w:val="2"/>
        <w:ind w:firstLine="698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在按照要求依法依规进行主动公开的同时，崇外街道充分运用政务新媒体渠道，在“崇外在线”微信公众号发布信息1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088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条，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重点推送群众关心的热点问题和涉及群众切身利益的信息；并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发布街道工作、社区风采等信息。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（三）依申请公开办理</w:t>
      </w:r>
    </w:p>
    <w:p>
      <w:pPr>
        <w:pStyle w:val="2"/>
        <w:ind w:firstLine="672" w:firstLineChars="200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崇外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共处理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政府信息公开申请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件，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47件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已在规定期限内答复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3件结转至2026年答复。自然人申请49件，其他组织申请1件。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（四）政府信息管理</w:t>
      </w:r>
    </w:p>
    <w:p>
      <w:pPr>
        <w:pStyle w:val="2"/>
        <w:ind w:firstLine="672" w:firstLineChars="200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崇外街道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严格执行“先审核后发布”的程序，指定专人负责信息发布，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确保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发布信息规范。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（五）政府信息公开平台建设</w:t>
      </w:r>
    </w:p>
    <w:p>
      <w:pPr>
        <w:pStyle w:val="2"/>
        <w:ind w:firstLine="672" w:firstLineChars="200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一是崇外街道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通过开展政务开放日活动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搭建政府与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群众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之间面对面沟通桥梁，进一步提升政府公信力、凝聚力、执行力。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二是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通过电视、微信公众号、社区公示栏等多种形式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广泛发布政务信息，拓宽信息公开渠道。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三是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加强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专业知识学习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规范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信息公开工作流程。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</w:rPr>
        <w:t>（六）政府信息公开监督保障及教育培训</w:t>
      </w:r>
    </w:p>
    <w:p>
      <w:pPr>
        <w:pStyle w:val="2"/>
        <w:ind w:firstLine="672" w:firstLineChars="200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崇外街道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积极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组织工作人员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参加区级培训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，深学细悟《政府信息公开条例》，切实做到依法履职，同时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邀请律师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顾问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对街道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全体干部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开展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信息公开培训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，提升依法决策和政务服务水平。</w:t>
      </w:r>
    </w:p>
    <w:p>
      <w:pPr>
        <w:pStyle w:val="2"/>
        <w:ind w:firstLine="672" w:firstLineChars="200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主动公开政府信息情况</w:t>
      </w:r>
    </w:p>
    <w:p>
      <w:pPr>
        <w:pStyle w:val="2"/>
        <w:rPr>
          <w:rFonts w:hint="eastAsia" w:ascii="Times New Roman" w:hAnsi="Times New Roman"/>
          <w:highlight w:val="none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/>
          <w:highlight w:val="none"/>
        </w:rPr>
      </w:pPr>
    </w:p>
    <w:tbl>
      <w:tblPr>
        <w:tblStyle w:val="11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br w:type="page"/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收到和处理政府信息公开申请情况</w:t>
      </w:r>
    </w:p>
    <w:tbl>
      <w:tblPr>
        <w:tblStyle w:val="11"/>
        <w:tblpPr w:leftFromText="180" w:rightFromText="180" w:vertAnchor="text" w:horzAnchor="page" w:tblpX="1130" w:tblpY="32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highlight w:val="no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49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（二）部分公开</w:t>
            </w:r>
            <w:r>
              <w:rPr>
                <w:rFonts w:hint="default" w:ascii="Times New Roman" w:hAnsi="Times New Roman" w:eastAsia="楷体" w:cs="楷体"/>
                <w:kern w:val="0"/>
                <w:sz w:val="20"/>
                <w:szCs w:val="20"/>
                <w:highlight w:val="none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Times New Roman" w:hAnsi="Times New Roman"/>
          <w:highlight w:val="none"/>
        </w:rPr>
      </w:pPr>
    </w:p>
    <w:tbl>
      <w:tblPr>
        <w:tblStyle w:val="11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>
      <w:pPr>
        <w:widowControl/>
        <w:jc w:val="left"/>
        <w:rPr>
          <w:rFonts w:ascii="Times New Roman" w:hAnsi="Times New Roman"/>
          <w:highlight w:val="none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Times New Roman" w:hAnsi="Times New Roman" w:cs="宋体"/>
          <w:spacing w:val="8"/>
          <w:kern w:val="0"/>
          <w:sz w:val="24"/>
          <w:highlight w:val="none"/>
        </w:rPr>
      </w:pPr>
      <w:r>
        <w:rPr>
          <w:rFonts w:ascii="Times New Roman" w:hAnsi="Times New Roman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信息公开宣传工作不够到位，群众对政府信息公开工作的认知度和参与度不高。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崇外街道将积极拓展宣传渠道，通过电子显示屏滚动播放《政府信息公开条例》宣传标语，在便民服务大厅向前来办事的群众介绍政府信息查询、信息公开申请等内容，保障公众对信息公开工作的知情权。</w:t>
      </w:r>
    </w:p>
    <w:p>
      <w:pPr>
        <w:pStyle w:val="2"/>
        <w:ind w:firstLine="672" w:firstLineChars="200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二是信息公开规范性、专业性有待提升，存在行政复议出现结果纠正的情况。</w:t>
      </w:r>
    </w:p>
    <w:p>
      <w:pPr>
        <w:pStyle w:val="2"/>
        <w:ind w:firstLine="672" w:firstLineChars="200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崇外街道高度重视，安排工作人员定期查看公务员邮箱、纸质信件，保障信息公开申请渠道畅通，提高答复的规范性，有效降低复议率和纠错率。</w:t>
      </w:r>
    </w:p>
    <w:p>
      <w:pPr>
        <w:pStyle w:val="2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eastAsia="zh-CN"/>
        </w:rPr>
        <w:t>崇外街道发出收费通知的件数和总金额以及实际收取的总金额均为0。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北京市东城区人民政府门户网站网址为http://www.bjdch.gov.cn/，如需了解更多政府信息，请登录查询。</w:t>
      </w: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  <w:highlight w:val="none"/>
        </w:rPr>
      </w:pPr>
    </w:p>
    <w:p>
      <w:pPr>
        <w:pStyle w:val="2"/>
        <w:rPr>
          <w:rFonts w:hint="eastAsia" w:ascii="Times New Roman" w:hAnsi="Times New Roman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9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24A09"/>
    <w:rsid w:val="006470F9"/>
    <w:rsid w:val="007260BD"/>
    <w:rsid w:val="00757FCE"/>
    <w:rsid w:val="007862D6"/>
    <w:rsid w:val="007A180B"/>
    <w:rsid w:val="007E5905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0929F7"/>
    <w:rsid w:val="015C746E"/>
    <w:rsid w:val="015E68D1"/>
    <w:rsid w:val="01C74B01"/>
    <w:rsid w:val="01D0041C"/>
    <w:rsid w:val="02B73E03"/>
    <w:rsid w:val="02FD6B22"/>
    <w:rsid w:val="03284630"/>
    <w:rsid w:val="03AA3F18"/>
    <w:rsid w:val="040F0824"/>
    <w:rsid w:val="0444100C"/>
    <w:rsid w:val="04B871DC"/>
    <w:rsid w:val="04C523E5"/>
    <w:rsid w:val="04F9364D"/>
    <w:rsid w:val="053D049D"/>
    <w:rsid w:val="05927F9F"/>
    <w:rsid w:val="061043AF"/>
    <w:rsid w:val="063D400F"/>
    <w:rsid w:val="070B35C2"/>
    <w:rsid w:val="07173589"/>
    <w:rsid w:val="072E7F05"/>
    <w:rsid w:val="07601AE6"/>
    <w:rsid w:val="08287C86"/>
    <w:rsid w:val="085B374C"/>
    <w:rsid w:val="088B5EB3"/>
    <w:rsid w:val="08D86A90"/>
    <w:rsid w:val="091402F1"/>
    <w:rsid w:val="09BA5C05"/>
    <w:rsid w:val="0A5449BD"/>
    <w:rsid w:val="0B6017B9"/>
    <w:rsid w:val="0BAD1DFC"/>
    <w:rsid w:val="0D1C05EB"/>
    <w:rsid w:val="0DB23146"/>
    <w:rsid w:val="0E6D4B11"/>
    <w:rsid w:val="0EE37632"/>
    <w:rsid w:val="0F0B15F3"/>
    <w:rsid w:val="0F1A01BB"/>
    <w:rsid w:val="0F2011C8"/>
    <w:rsid w:val="10B06CB1"/>
    <w:rsid w:val="10F1642E"/>
    <w:rsid w:val="10F70AE6"/>
    <w:rsid w:val="11935B60"/>
    <w:rsid w:val="11C44B79"/>
    <w:rsid w:val="11EC0FF2"/>
    <w:rsid w:val="123654D6"/>
    <w:rsid w:val="125664A3"/>
    <w:rsid w:val="12DA4F7E"/>
    <w:rsid w:val="136F2B21"/>
    <w:rsid w:val="139549F3"/>
    <w:rsid w:val="142E062B"/>
    <w:rsid w:val="15007A8F"/>
    <w:rsid w:val="15042E03"/>
    <w:rsid w:val="154511A9"/>
    <w:rsid w:val="158C393D"/>
    <w:rsid w:val="159F420C"/>
    <w:rsid w:val="16176ECF"/>
    <w:rsid w:val="168C2214"/>
    <w:rsid w:val="16A25704"/>
    <w:rsid w:val="17480642"/>
    <w:rsid w:val="186E4C07"/>
    <w:rsid w:val="186F5E9F"/>
    <w:rsid w:val="19120C0B"/>
    <w:rsid w:val="195241B5"/>
    <w:rsid w:val="19B74C1D"/>
    <w:rsid w:val="1A692CFB"/>
    <w:rsid w:val="1A994848"/>
    <w:rsid w:val="1B383CF2"/>
    <w:rsid w:val="1B417939"/>
    <w:rsid w:val="1B646E43"/>
    <w:rsid w:val="1C222D36"/>
    <w:rsid w:val="1C47275C"/>
    <w:rsid w:val="1C850733"/>
    <w:rsid w:val="1CEB4172"/>
    <w:rsid w:val="1D016C9E"/>
    <w:rsid w:val="1D4D21B0"/>
    <w:rsid w:val="1D4D5C18"/>
    <w:rsid w:val="1D69232C"/>
    <w:rsid w:val="1DBE6FEE"/>
    <w:rsid w:val="1DE37776"/>
    <w:rsid w:val="1EA50357"/>
    <w:rsid w:val="1FD01E46"/>
    <w:rsid w:val="200B59E9"/>
    <w:rsid w:val="2039313C"/>
    <w:rsid w:val="20457584"/>
    <w:rsid w:val="204A5A53"/>
    <w:rsid w:val="20D948B3"/>
    <w:rsid w:val="20F4351F"/>
    <w:rsid w:val="215D3CD6"/>
    <w:rsid w:val="21EE06C0"/>
    <w:rsid w:val="220E5FDF"/>
    <w:rsid w:val="22C80758"/>
    <w:rsid w:val="2308472C"/>
    <w:rsid w:val="23244533"/>
    <w:rsid w:val="23B53941"/>
    <w:rsid w:val="24CA2406"/>
    <w:rsid w:val="252A3422"/>
    <w:rsid w:val="25FA7356"/>
    <w:rsid w:val="26B92096"/>
    <w:rsid w:val="26DC5ACE"/>
    <w:rsid w:val="275C569C"/>
    <w:rsid w:val="27F76F74"/>
    <w:rsid w:val="28EC21AD"/>
    <w:rsid w:val="28F13CC0"/>
    <w:rsid w:val="29284F7F"/>
    <w:rsid w:val="293B7D7A"/>
    <w:rsid w:val="293D7A75"/>
    <w:rsid w:val="296B5F5D"/>
    <w:rsid w:val="2AA7627A"/>
    <w:rsid w:val="2B913160"/>
    <w:rsid w:val="2B9844FA"/>
    <w:rsid w:val="2D047420"/>
    <w:rsid w:val="2D25458F"/>
    <w:rsid w:val="2D35073C"/>
    <w:rsid w:val="2D594F89"/>
    <w:rsid w:val="2E505E00"/>
    <w:rsid w:val="2EBF63CE"/>
    <w:rsid w:val="2EC7764D"/>
    <w:rsid w:val="2F2B43BA"/>
    <w:rsid w:val="2FF216DF"/>
    <w:rsid w:val="30806B9E"/>
    <w:rsid w:val="30F773DF"/>
    <w:rsid w:val="312F33E0"/>
    <w:rsid w:val="316B1BA5"/>
    <w:rsid w:val="32033E5F"/>
    <w:rsid w:val="321C6E20"/>
    <w:rsid w:val="33A10D3B"/>
    <w:rsid w:val="3463058E"/>
    <w:rsid w:val="34B11EE1"/>
    <w:rsid w:val="34E642C0"/>
    <w:rsid w:val="352F40CB"/>
    <w:rsid w:val="3532039A"/>
    <w:rsid w:val="35E04767"/>
    <w:rsid w:val="361D5D73"/>
    <w:rsid w:val="36364643"/>
    <w:rsid w:val="365E251F"/>
    <w:rsid w:val="36890E44"/>
    <w:rsid w:val="36996009"/>
    <w:rsid w:val="36B60793"/>
    <w:rsid w:val="37242B85"/>
    <w:rsid w:val="37342E1F"/>
    <w:rsid w:val="379F3AAA"/>
    <w:rsid w:val="37B82A79"/>
    <w:rsid w:val="37C07A9B"/>
    <w:rsid w:val="37D261A1"/>
    <w:rsid w:val="38393184"/>
    <w:rsid w:val="38477332"/>
    <w:rsid w:val="39C84EDD"/>
    <w:rsid w:val="3A3D4E9C"/>
    <w:rsid w:val="3AE54C5D"/>
    <w:rsid w:val="3BA06262"/>
    <w:rsid w:val="3C3108A2"/>
    <w:rsid w:val="3C8342D6"/>
    <w:rsid w:val="3CA25D4C"/>
    <w:rsid w:val="3CE83D8A"/>
    <w:rsid w:val="3D0059A4"/>
    <w:rsid w:val="3DDA76A7"/>
    <w:rsid w:val="3E0158DC"/>
    <w:rsid w:val="3EF94414"/>
    <w:rsid w:val="3F737A19"/>
    <w:rsid w:val="3F8024B0"/>
    <w:rsid w:val="3F827426"/>
    <w:rsid w:val="3F954787"/>
    <w:rsid w:val="3FB226B9"/>
    <w:rsid w:val="408A4515"/>
    <w:rsid w:val="41336AA7"/>
    <w:rsid w:val="41675214"/>
    <w:rsid w:val="41A82BB0"/>
    <w:rsid w:val="42BE42D4"/>
    <w:rsid w:val="44F32561"/>
    <w:rsid w:val="464F139B"/>
    <w:rsid w:val="46854C3D"/>
    <w:rsid w:val="46957D4E"/>
    <w:rsid w:val="46CE42BF"/>
    <w:rsid w:val="472D6E53"/>
    <w:rsid w:val="4750587F"/>
    <w:rsid w:val="47A528E3"/>
    <w:rsid w:val="47B972B3"/>
    <w:rsid w:val="47C76A26"/>
    <w:rsid w:val="48624CD1"/>
    <w:rsid w:val="48D06429"/>
    <w:rsid w:val="49026FB1"/>
    <w:rsid w:val="49A15869"/>
    <w:rsid w:val="4A916038"/>
    <w:rsid w:val="4AA71688"/>
    <w:rsid w:val="4B1D1510"/>
    <w:rsid w:val="4B663CB2"/>
    <w:rsid w:val="4C6F71B7"/>
    <w:rsid w:val="4CB06383"/>
    <w:rsid w:val="4E05298A"/>
    <w:rsid w:val="4E061AAC"/>
    <w:rsid w:val="4E23222F"/>
    <w:rsid w:val="4E7735C7"/>
    <w:rsid w:val="4F163BFB"/>
    <w:rsid w:val="4FCC31D7"/>
    <w:rsid w:val="50621E6E"/>
    <w:rsid w:val="51997598"/>
    <w:rsid w:val="51FD0EA1"/>
    <w:rsid w:val="52D43103"/>
    <w:rsid w:val="53E52F16"/>
    <w:rsid w:val="54A85BD0"/>
    <w:rsid w:val="54B43D80"/>
    <w:rsid w:val="554524F7"/>
    <w:rsid w:val="55805A3F"/>
    <w:rsid w:val="55F96F78"/>
    <w:rsid w:val="573A1526"/>
    <w:rsid w:val="576660C9"/>
    <w:rsid w:val="57A713D9"/>
    <w:rsid w:val="58BE529C"/>
    <w:rsid w:val="58E20764"/>
    <w:rsid w:val="596E7991"/>
    <w:rsid w:val="59D26161"/>
    <w:rsid w:val="59EF5F66"/>
    <w:rsid w:val="59FA0BA4"/>
    <w:rsid w:val="5AE91592"/>
    <w:rsid w:val="5B5A14F5"/>
    <w:rsid w:val="5B832F62"/>
    <w:rsid w:val="5C85343F"/>
    <w:rsid w:val="5D256ED4"/>
    <w:rsid w:val="5DC8244E"/>
    <w:rsid w:val="5DE56592"/>
    <w:rsid w:val="5E011730"/>
    <w:rsid w:val="5E0571AD"/>
    <w:rsid w:val="5EBE178F"/>
    <w:rsid w:val="5EE42435"/>
    <w:rsid w:val="5F6C3AE7"/>
    <w:rsid w:val="5FB55714"/>
    <w:rsid w:val="5FBF6EFA"/>
    <w:rsid w:val="609A09EE"/>
    <w:rsid w:val="60C355B4"/>
    <w:rsid w:val="60EA3D13"/>
    <w:rsid w:val="60F2511B"/>
    <w:rsid w:val="61380A16"/>
    <w:rsid w:val="616E3D42"/>
    <w:rsid w:val="62317641"/>
    <w:rsid w:val="633C39DB"/>
    <w:rsid w:val="633F28AF"/>
    <w:rsid w:val="63545D98"/>
    <w:rsid w:val="63847E28"/>
    <w:rsid w:val="63AF0DE6"/>
    <w:rsid w:val="64140E94"/>
    <w:rsid w:val="642D4346"/>
    <w:rsid w:val="64690D42"/>
    <w:rsid w:val="64972B08"/>
    <w:rsid w:val="65143FEF"/>
    <w:rsid w:val="65432745"/>
    <w:rsid w:val="65AA69E6"/>
    <w:rsid w:val="65BC7B5B"/>
    <w:rsid w:val="65FE0843"/>
    <w:rsid w:val="66330931"/>
    <w:rsid w:val="665A40B9"/>
    <w:rsid w:val="66D7084A"/>
    <w:rsid w:val="67011418"/>
    <w:rsid w:val="67037D1B"/>
    <w:rsid w:val="670F3710"/>
    <w:rsid w:val="671C17CC"/>
    <w:rsid w:val="6744338D"/>
    <w:rsid w:val="674C7846"/>
    <w:rsid w:val="67716B82"/>
    <w:rsid w:val="683F3FB4"/>
    <w:rsid w:val="68815EF5"/>
    <w:rsid w:val="68917716"/>
    <w:rsid w:val="68B1527B"/>
    <w:rsid w:val="68C65D9D"/>
    <w:rsid w:val="69D46E61"/>
    <w:rsid w:val="6B2F084D"/>
    <w:rsid w:val="6B4C7395"/>
    <w:rsid w:val="6CA766E5"/>
    <w:rsid w:val="6D0E597B"/>
    <w:rsid w:val="6D255434"/>
    <w:rsid w:val="6DC72BAB"/>
    <w:rsid w:val="6DFC787C"/>
    <w:rsid w:val="6E8C5810"/>
    <w:rsid w:val="6F5052E2"/>
    <w:rsid w:val="70222C83"/>
    <w:rsid w:val="702E0740"/>
    <w:rsid w:val="710D6845"/>
    <w:rsid w:val="714D6806"/>
    <w:rsid w:val="719F284F"/>
    <w:rsid w:val="71B5409B"/>
    <w:rsid w:val="727212E6"/>
    <w:rsid w:val="72C722F5"/>
    <w:rsid w:val="73BF3FC3"/>
    <w:rsid w:val="74610F82"/>
    <w:rsid w:val="75342D58"/>
    <w:rsid w:val="754E679A"/>
    <w:rsid w:val="766A6153"/>
    <w:rsid w:val="77223576"/>
    <w:rsid w:val="77776320"/>
    <w:rsid w:val="77921B28"/>
    <w:rsid w:val="77C02F70"/>
    <w:rsid w:val="78486CBE"/>
    <w:rsid w:val="789D3289"/>
    <w:rsid w:val="78B36E59"/>
    <w:rsid w:val="791447EC"/>
    <w:rsid w:val="793566B3"/>
    <w:rsid w:val="79606CAC"/>
    <w:rsid w:val="79EA0AFF"/>
    <w:rsid w:val="7B7624CE"/>
    <w:rsid w:val="7B8054CD"/>
    <w:rsid w:val="7BDF75D6"/>
    <w:rsid w:val="7BEB2753"/>
    <w:rsid w:val="7C666463"/>
    <w:rsid w:val="7C8C0C3B"/>
    <w:rsid w:val="7C8E6D8A"/>
    <w:rsid w:val="7CE12A6A"/>
    <w:rsid w:val="7D4379D2"/>
    <w:rsid w:val="7D4F5FA8"/>
    <w:rsid w:val="7DA31A4C"/>
    <w:rsid w:val="7DEA46E3"/>
    <w:rsid w:val="7E4E3852"/>
    <w:rsid w:val="7F4B253A"/>
    <w:rsid w:val="7F722C87"/>
    <w:rsid w:val="7FE70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link w:val="8"/>
    <w:unhideWhenUsed/>
    <w:uiPriority w:val="1"/>
    <w:rPr>
      <w:rFonts w:ascii="Tahoma" w:hAnsi="Tahoma"/>
      <w:sz w:val="24"/>
      <w:szCs w:val="20"/>
    </w:rPr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8">
    <w:name w:val=" Char Char1"/>
    <w:basedOn w:val="1"/>
    <w:link w:val="7"/>
    <w:qFormat/>
    <w:uiPriority w:val="0"/>
    <w:rPr>
      <w:rFonts w:ascii="Tahoma" w:hAnsi="Tahoma"/>
      <w:sz w:val="24"/>
      <w:szCs w:val="20"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0"/>
    <w:rPr>
      <w:color w:val="000000"/>
      <w:u w:val="non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_Style 6"/>
    <w:basedOn w:val="1"/>
    <w:qFormat/>
    <w:uiPriority w:val="0"/>
    <w:rPr>
      <w:szCs w:val="20"/>
    </w:rPr>
  </w:style>
  <w:style w:type="paragraph" w:customStyle="1" w:styleId="14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contractReview xmlns="http://schemas.wps.cn/vas-ai-hub/contract-review">
  <reviewItems>
    <reviewItem>
      <errorID>e9c2e2c6-1c07-441b-bbda-09836b9b881b</errorID>
      <errorWord>《政府信息公开条例》</errorWord>
      <group>L1_Knowledge</group>
      <groupName>知识性问题</groupName>
      <ability>L2_Knowledge</ability>
      <abilityName>其他知识</abilityName>
      <candidateList/>
      <explain>知识性错误</explain>
      <paraID>5270294A</paraID>
      <start>28</start>
      <end>38</end>
      <status>unmodified</status>
      <modifiedWord/>
      <trackRevisions>false</trackRevisions>
    </reviewItem>
    <reviewItem>
      <errorID>4d895fc4-5db4-410b-92c8-937a67a5dc2f</errorID>
      <errorWord>公开全</errorWord>
      <group>L1_Word</group>
      <groupName>字词问题</groupName>
      <ability>L2_Typo</ability>
      <abilityName>字词错误</abilityName>
      <candidateList>
        <item>公开</item>
      </candidateList>
      <explain/>
      <paraID> 92DB4FC</paraID>
      <start>129</start>
      <end>132</end>
      <status>unmodified</status>
      <modifiedWord/>
      <trackRevisions>false</trackRevisions>
    </reviewItem>
    <reviewItem>
      <errorID>4c44915d-1022-45f5-9992-2479756d6d5e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103661D</paraID>
      <start>24</start>
      <end>32</end>
      <status>unmodified</status>
      <modifiedWord/>
      <trackRevisions>false</trackRevisions>
    </reviewItem>
    <reviewItem>
      <errorID>89f7a1a6-8f27-476e-91fe-3103dccee70b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6FCEA6E2</paraID>
      <start>22</start>
      <end>24</end>
      <status>unmodified</status>
      <modifiedWord/>
      <trackRevisions>false</trackRevisions>
    </reviewItem>
    <reviewItem>
      <errorID>e6dbe0e8-0f01-41a8-a5aa-0e5b1bf676a5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14F1DE0E</paraID>
      <start>26</start>
      <end>28</end>
      <status>unmodified</status>
      <modifiedWord/>
      <trackRevisions>false</trackRevisions>
    </reviewItem>
    <reviewItem>
      <errorID>5852d718-2974-4b8a-963c-14140e9f7f77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29009DE6</paraID>
      <start>32</start>
      <end>40</end>
      <status>unmodified</status>
      <modifiedWord/>
      <trackRevisions>false</trackRevisions>
    </reviewItem>
    <reviewItem>
      <errorID>4a96cf80-6811-4054-b0e8-4f4dc64ac29f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 851E754</paraID>
      <start>71</start>
      <end>73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279bd-ecf2-443a-baa6-fa8b5b9441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1875</Words>
  <Characters>1945</Characters>
  <Lines>7</Lines>
  <Paragraphs>2</Paragraphs>
  <ScaleCrop>false</ScaleCrop>
  <LinksUpToDate>false</LinksUpToDate>
  <CharactersWithSpaces>2102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2019-03-21T10:11:00Z</dcterms:created>
  <dc:creator>李曼</dc:creator>
  <cp:lastModifiedBy>王颖</cp:lastModifiedBy>
  <cp:lastPrinted>2019-10-11T08:27:00Z</cp:lastPrinted>
  <dcterms:modified xsi:type="dcterms:W3CDTF">2026-01-16T08:30:24Z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KSOTemplateDocerSaveRecord">
    <vt:lpwstr>eyJoZGlkIjoiODI3NTkyMDM4ZmU2NzZlYTM4MGYzNDcyZTVmOGZlYWMiLCJ1c2VySWQiOiIyNjg3NzE0NDkifQ==</vt:lpwstr>
  </property>
  <property fmtid="{D5CDD505-2E9C-101B-9397-08002B2CF9AE}" pid="4" name="ICV">
    <vt:lpwstr>5631438086EF44809357652F5948756C_12</vt:lpwstr>
  </property>
</Properties>
</file>