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北京市东城区发展和改革委员会</w:t>
      </w:r>
    </w:p>
    <w:p>
      <w:pPr>
        <w:widowControl w:val="0"/>
        <w:wordWrap/>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pPr>
        <w:spacing w:beforeLines="0" w:afterLines="0" w:line="560" w:lineRule="exact"/>
        <w:jc w:val="center"/>
        <w:rPr>
          <w:sz w:val="44"/>
          <w:szCs w:val="44"/>
        </w:rPr>
      </w:pPr>
    </w:p>
    <w:p>
      <w:pPr>
        <w:widowControl/>
        <w:wordWrap/>
        <w:adjustRightInd w:val="0"/>
        <w:snapToGrid w:val="0"/>
        <w:spacing w:beforeLines="0" w:afterLines="0" w:line="560" w:lineRule="exact"/>
        <w:jc w:val="left"/>
        <w:textAlignment w:val="auto"/>
        <w:rPr>
          <w:rFonts w:hint="default" w:ascii="Times New Roman" w:hAnsi="Times New Roman" w:eastAsia="仿宋_GB2312" w:cs="Times New Roman"/>
          <w:spacing w:val="8"/>
          <w:kern w:val="0"/>
          <w:sz w:val="32"/>
          <w:szCs w:val="32"/>
        </w:rPr>
      </w:pPr>
      <w:r>
        <w:rPr>
          <w:rFonts w:hint="default" w:ascii="Times New Roman" w:hAnsi="Times New Roman" w:eastAsia="微软雅黑" w:cs="Times New Roman"/>
          <w:color w:val="404040"/>
          <w:kern w:val="0"/>
          <w:sz w:val="24"/>
        </w:rPr>
        <w:t>　</w:t>
      </w:r>
      <w:r>
        <w:rPr>
          <w:rFonts w:hint="default" w:ascii="Times New Roman" w:hAnsi="Times New Roman" w:eastAsia="微软雅黑" w:cs="Times New Roman"/>
          <w:color w:val="404040"/>
          <w:kern w:val="0"/>
          <w:sz w:val="32"/>
          <w:szCs w:val="32"/>
        </w:rPr>
        <w:t xml:space="preserve">  </w:t>
      </w:r>
      <w:r>
        <w:rPr>
          <w:rFonts w:hint="eastAsia" w:ascii="仿宋_GB2312" w:hAnsi="仿宋_GB2312" w:eastAsia="仿宋_GB2312" w:cs="仿宋_GB2312"/>
          <w:color w:val="404040"/>
          <w:kern w:val="0"/>
          <w:sz w:val="32"/>
          <w:szCs w:val="32"/>
        </w:rPr>
        <w:t xml:space="preserve"> </w:t>
      </w:r>
      <w:r>
        <w:rPr>
          <w:rFonts w:hint="eastAsia" w:ascii="仿宋_GB2312" w:hAnsi="仿宋_GB2312" w:eastAsia="仿宋_GB2312" w:cs="仿宋_GB2312"/>
          <w:spacing w:val="8"/>
          <w:kern w:val="0"/>
          <w:sz w:val="32"/>
          <w:szCs w:val="32"/>
        </w:rPr>
        <w:t>依据《中华人民共和国政府信息公开条例》(以下简称《政府信息公开条例》)第五十条规定，编制本报告。</w:t>
      </w:r>
    </w:p>
    <w:p>
      <w:pPr>
        <w:widowControl/>
        <w:wordWrap/>
        <w:adjustRightInd w:val="0"/>
        <w:snapToGrid w:val="0"/>
        <w:spacing w:beforeLines="0" w:afterLines="0" w:line="560" w:lineRule="exact"/>
        <w:ind w:firstLine="672" w:firstLineChars="200"/>
        <w:jc w:val="left"/>
        <w:textAlignment w:val="auto"/>
        <w:rPr>
          <w:rFonts w:hint="default" w:ascii="Times New Roman" w:hAnsi="Times New Roman" w:eastAsia="黑体" w:cs="Times New Roman"/>
          <w:spacing w:val="8"/>
          <w:kern w:val="0"/>
          <w:sz w:val="32"/>
          <w:szCs w:val="32"/>
        </w:rPr>
      </w:pPr>
      <w:r>
        <w:rPr>
          <w:rFonts w:hint="default" w:ascii="Times New Roman" w:hAnsi="Times New Roman" w:eastAsia="黑体" w:cs="Times New Roman"/>
          <w:spacing w:val="8"/>
          <w:kern w:val="0"/>
          <w:sz w:val="32"/>
          <w:szCs w:val="32"/>
        </w:rPr>
        <w:t>一、总体情</w:t>
      </w:r>
      <w:bookmarkStart w:id="0" w:name="_GoBack"/>
      <w:bookmarkEnd w:id="0"/>
      <w:r>
        <w:rPr>
          <w:rFonts w:hint="default" w:ascii="Times New Roman" w:hAnsi="Times New Roman" w:eastAsia="黑体" w:cs="Times New Roman"/>
          <w:spacing w:val="8"/>
          <w:kern w:val="0"/>
          <w:sz w:val="32"/>
          <w:szCs w:val="32"/>
        </w:rPr>
        <w:t>况</w:t>
      </w:r>
    </w:p>
    <w:p>
      <w:pPr>
        <w:wordWrap/>
        <w:adjustRightInd w:val="0"/>
        <w:snapToGrid w:val="0"/>
        <w:spacing w:beforeLines="0" w:afterLines="0"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2024年区发展改革委</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b w:val="0"/>
          <w:bCs w:val="0"/>
          <w:color w:val="000000"/>
          <w:sz w:val="32"/>
          <w:szCs w:val="32"/>
          <w:highlight w:val="none"/>
          <w:lang w:val="en-US" w:eastAsia="zh-CN"/>
        </w:rPr>
        <w:t>《北京市东城区</w:t>
      </w:r>
      <w:r>
        <w:rPr>
          <w:rFonts w:hint="eastAsia" w:ascii="仿宋_GB2312" w:hAnsi="仿宋_GB2312" w:eastAsia="仿宋_GB2312" w:cs="仿宋_GB2312"/>
          <w:b w:val="0"/>
          <w:bCs w:val="0"/>
          <w:color w:val="auto"/>
          <w:sz w:val="32"/>
          <w:szCs w:val="32"/>
          <w:highlight w:val="none"/>
          <w:lang w:val="en-US" w:eastAsia="zh-CN"/>
        </w:rPr>
        <w:t>2024</w:t>
      </w:r>
      <w:r>
        <w:rPr>
          <w:rFonts w:hint="eastAsia" w:ascii="仿宋_GB2312" w:hAnsi="仿宋_GB2312" w:eastAsia="仿宋_GB2312" w:cs="仿宋_GB2312"/>
          <w:b w:val="0"/>
          <w:bCs w:val="0"/>
          <w:color w:val="000000"/>
          <w:sz w:val="32"/>
          <w:szCs w:val="32"/>
          <w:highlight w:val="none"/>
          <w:lang w:val="en-US" w:eastAsia="zh-CN"/>
        </w:rPr>
        <w:t>年政务公开工作要点》的要求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紧紧围绕全区中心工作和发展改革重点任务，切实以企业和群众需求为导向</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坚持“公开为常态，不公开为例外”，优化惠企政策服务，助力企业纾困解难。</w:t>
      </w:r>
    </w:p>
    <w:p>
      <w:pPr>
        <w:wordWrap/>
        <w:adjustRightInd w:val="0"/>
        <w:snapToGrid w:val="0"/>
        <w:spacing w:beforeLines="0" w:afterLines="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2024年度政务公开工作要点落实情况</w:t>
      </w:r>
    </w:p>
    <w:p>
      <w:pPr>
        <w:widowControl/>
        <w:wordWrap/>
        <w:adjustRightInd/>
        <w:snapToGrid/>
        <w:spacing w:beforeLines="0" w:afterLines="0" w:line="560" w:lineRule="exact"/>
        <w:ind w:firstLine="640" w:firstLineChars="200"/>
        <w:jc w:val="left"/>
        <w:rPr>
          <w:rFonts w:hint="eastAsia" w:ascii="楷体_GB2312" w:hAnsi="楷体_GB2312" w:eastAsia="楷体_GB2312" w:cs="楷体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2024年我委根据《北京市东城区2024年政务公开工作要点》的工作要求，持续做好优化营商环境政策公开，在优化营商环境东城在行动专栏中向社会公开优化营商环境改革政策及政策解读，及时推送优化营商环境工作动态92条。</w:t>
      </w:r>
    </w:p>
    <w:p>
      <w:pPr>
        <w:widowControl/>
        <w:wordWrap/>
        <w:adjustRightInd/>
        <w:snapToGrid/>
        <w:spacing w:beforeLines="0" w:afterLines="0" w:line="560" w:lineRule="exact"/>
        <w:ind w:firstLine="640" w:firstLineChars="200"/>
        <w:jc w:val="left"/>
        <w:rPr>
          <w:rFonts w:hint="eastAsia" w:ascii="楷体_GB2312" w:hAnsi="楷体_GB2312" w:eastAsia="楷体_GB2312" w:cs="楷体_GB2312"/>
          <w:color w:val="000000"/>
          <w:kern w:val="0"/>
          <w:sz w:val="32"/>
          <w:szCs w:val="32"/>
          <w:highlight w:val="none"/>
          <w:lang w:eastAsia="zh-CN"/>
        </w:rPr>
      </w:pPr>
      <w:r>
        <w:rPr>
          <w:rFonts w:hint="eastAsia" w:ascii="楷体_GB2312" w:hAnsi="楷体_GB2312" w:eastAsia="楷体_GB2312" w:cs="楷体_GB2312"/>
          <w:color w:val="000000"/>
          <w:kern w:val="0"/>
          <w:sz w:val="32"/>
          <w:szCs w:val="32"/>
          <w:highlight w:val="none"/>
          <w:lang w:eastAsia="zh-CN"/>
        </w:rPr>
        <w:t>（二）组织领导情况</w:t>
      </w:r>
    </w:p>
    <w:p>
      <w:pPr>
        <w:widowControl w:val="0"/>
        <w:wordWrap/>
        <w:adjustRightInd/>
        <w:snapToGrid/>
        <w:spacing w:beforeLines="0" w:afterLines="0" w:line="24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我委</w:t>
      </w:r>
      <w:r>
        <w:rPr>
          <w:rFonts w:hint="eastAsia" w:ascii="仿宋_GB2312" w:hAnsi="仿宋_GB2312" w:eastAsia="仿宋_GB2312" w:cs="仿宋_GB2312"/>
          <w:color w:val="000000"/>
          <w:kern w:val="0"/>
          <w:sz w:val="32"/>
          <w:szCs w:val="32"/>
          <w:highlight w:val="none"/>
        </w:rPr>
        <w:t>成立以主要领导为组长的政务公开领导小组，</w:t>
      </w:r>
      <w:r>
        <w:rPr>
          <w:rFonts w:hint="eastAsia" w:ascii="仿宋_GB2312" w:hAnsi="仿宋_GB2312" w:eastAsia="仿宋_GB2312" w:cs="仿宋_GB2312"/>
          <w:sz w:val="32"/>
        </w:rPr>
        <w:t>加强对</w:t>
      </w:r>
      <w:r>
        <w:rPr>
          <w:rFonts w:hint="eastAsia" w:ascii="仿宋_GB2312" w:hAnsi="仿宋_GB2312" w:eastAsia="仿宋_GB2312" w:cs="仿宋_GB2312"/>
          <w:sz w:val="32"/>
          <w:lang w:eastAsia="zh-CN"/>
        </w:rPr>
        <w:t>我委</w:t>
      </w:r>
      <w:r>
        <w:rPr>
          <w:rFonts w:hint="eastAsia" w:ascii="仿宋_GB2312" w:hAnsi="仿宋_GB2312" w:eastAsia="仿宋_GB2312" w:cs="仿宋_GB2312"/>
          <w:sz w:val="32"/>
        </w:rPr>
        <w:t>政府信息公开工作的日常指导和监督检查</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委办公室</w:t>
      </w:r>
      <w:r>
        <w:rPr>
          <w:rFonts w:hint="eastAsia" w:ascii="仿宋_GB2312" w:hAnsi="仿宋_GB2312" w:eastAsia="仿宋_GB2312" w:cs="仿宋_GB2312"/>
          <w:sz w:val="32"/>
          <w:szCs w:val="32"/>
          <w:lang w:eastAsia="zh-CN"/>
        </w:rPr>
        <w:t>作为政府信息公开</w:t>
      </w:r>
      <w:r>
        <w:rPr>
          <w:rFonts w:hint="eastAsia" w:ascii="仿宋_GB2312" w:hAnsi="仿宋_GB2312" w:eastAsia="仿宋_GB2312" w:cs="仿宋_GB2312"/>
          <w:sz w:val="32"/>
          <w:szCs w:val="32"/>
        </w:rPr>
        <w:t>牵头责任部门，</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负责信息发布前的保密审查工作</w:t>
      </w:r>
      <w:r>
        <w:rPr>
          <w:rFonts w:hint="eastAsia" w:ascii="仿宋_GB2312" w:hAnsi="仿宋_GB2312" w:eastAsia="仿宋_GB2312" w:cs="仿宋_GB2312"/>
          <w:sz w:val="32"/>
          <w:szCs w:val="32"/>
          <w:lang w:eastAsia="zh-CN"/>
        </w:rPr>
        <w:t>。</w:t>
      </w:r>
    </w:p>
    <w:p>
      <w:pPr>
        <w:numPr>
          <w:ilvl w:val="0"/>
          <w:numId w:val="0"/>
        </w:numPr>
        <w:wordWrap/>
        <w:adjustRightInd w:val="0"/>
        <w:snapToGrid w:val="0"/>
        <w:spacing w:beforeLines="0" w:afterLines="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（三）主动公开情况</w:t>
      </w:r>
    </w:p>
    <w:p>
      <w:pPr>
        <w:wordWrap/>
        <w:adjustRightInd w:val="0"/>
        <w:snapToGrid w:val="0"/>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highlight w:val="none"/>
          <w:lang w:eastAsia="zh-CN"/>
        </w:rPr>
        <w:t>我委主动公开</w:t>
      </w:r>
      <w:r>
        <w:rPr>
          <w:rFonts w:hint="eastAsia" w:ascii="仿宋_GB2312" w:hAnsi="仿宋_GB2312" w:eastAsia="仿宋_GB2312" w:cs="仿宋_GB2312"/>
          <w:sz w:val="32"/>
          <w:szCs w:val="32"/>
        </w:rPr>
        <w:t>领导介绍、机构职责、机构设置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办公地址、联系方式、办公时间等</w:t>
      </w:r>
      <w:r>
        <w:rPr>
          <w:rFonts w:hint="eastAsia" w:ascii="仿宋_GB2312" w:hAnsi="仿宋_GB2312" w:eastAsia="仿宋_GB2312" w:cs="仿宋_GB2312"/>
          <w:sz w:val="32"/>
          <w:szCs w:val="32"/>
          <w:lang w:eastAsia="zh-CN"/>
        </w:rPr>
        <w:t>部门的</w:t>
      </w:r>
      <w:r>
        <w:rPr>
          <w:rFonts w:hint="eastAsia" w:ascii="仿宋_GB2312" w:hAnsi="仿宋_GB2312" w:eastAsia="仿宋_GB2312" w:cs="仿宋_GB2312"/>
          <w:sz w:val="32"/>
          <w:szCs w:val="32"/>
        </w:rPr>
        <w:t>基本信息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highlight w:val="none"/>
        </w:rPr>
        <w:t>确保网络的通畅，及时查收</w:t>
      </w:r>
      <w:r>
        <w:rPr>
          <w:rFonts w:hint="eastAsia" w:ascii="仿宋_GB2312" w:hAnsi="仿宋_GB2312" w:eastAsia="仿宋_GB2312" w:cs="仿宋_GB2312"/>
          <w:color w:val="000000"/>
          <w:kern w:val="0"/>
          <w:sz w:val="32"/>
          <w:szCs w:val="32"/>
          <w:highlight w:val="none"/>
          <w:lang w:eastAsia="zh-CN"/>
        </w:rPr>
        <w:t>回复电子</w:t>
      </w:r>
      <w:r>
        <w:rPr>
          <w:rFonts w:hint="eastAsia" w:ascii="仿宋_GB2312" w:hAnsi="仿宋_GB2312" w:eastAsia="仿宋_GB2312" w:cs="仿宋_GB2312"/>
          <w:color w:val="000000"/>
          <w:kern w:val="0"/>
          <w:sz w:val="32"/>
          <w:szCs w:val="32"/>
          <w:highlight w:val="none"/>
        </w:rPr>
        <w:t>邮件</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确保接待场所电脑、电话、传真机等办公设备使用正常</w:t>
      </w:r>
      <w:r>
        <w:rPr>
          <w:rFonts w:hint="eastAsia" w:ascii="仿宋_GB2312" w:hAnsi="仿宋_GB2312" w:eastAsia="仿宋_GB2312" w:cs="仿宋_GB2312"/>
          <w:color w:val="000000"/>
          <w:kern w:val="0"/>
          <w:sz w:val="32"/>
          <w:szCs w:val="32"/>
          <w:highlight w:val="none"/>
          <w:lang w:eastAsia="zh-CN"/>
        </w:rPr>
        <w:t>。</w:t>
      </w:r>
    </w:p>
    <w:p>
      <w:pPr>
        <w:widowControl/>
        <w:wordWrap/>
        <w:adjustRightInd/>
        <w:snapToGrid/>
        <w:spacing w:beforeLines="0" w:afterLines="0"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rPr>
        <w:t>全年主动公开政府</w:t>
      </w:r>
      <w:r>
        <w:rPr>
          <w:rFonts w:hint="eastAsia" w:ascii="仿宋_GB2312" w:hAnsi="仿宋_GB2312" w:eastAsia="仿宋_GB2312" w:cs="仿宋_GB2312"/>
          <w:color w:val="000000"/>
          <w:kern w:val="0"/>
          <w:sz w:val="32"/>
          <w:szCs w:val="32"/>
          <w:highlight w:val="none"/>
          <w:lang w:eastAsia="zh-CN"/>
        </w:rPr>
        <w:t>信息</w:t>
      </w:r>
      <w:r>
        <w:rPr>
          <w:rFonts w:hint="eastAsia" w:ascii="仿宋_GB2312" w:hAnsi="仿宋_GB2312" w:eastAsia="仿宋_GB2312" w:cs="仿宋_GB2312"/>
          <w:color w:val="auto"/>
          <w:kern w:val="2"/>
          <w:sz w:val="32"/>
          <w:szCs w:val="32"/>
          <w:highlight w:val="none"/>
          <w:lang w:val="en-US" w:eastAsia="zh-CN"/>
        </w:rPr>
        <w:t>71</w:t>
      </w:r>
      <w:r>
        <w:rPr>
          <w:rFonts w:hint="eastAsia" w:ascii="仿宋_GB2312" w:hAnsi="仿宋_GB2312" w:eastAsia="仿宋_GB2312" w:cs="仿宋_GB2312"/>
          <w:color w:val="000000"/>
          <w:kern w:val="0"/>
          <w:sz w:val="32"/>
          <w:szCs w:val="32"/>
          <w:highlight w:val="none"/>
        </w:rPr>
        <w:t>条</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含</w:t>
      </w:r>
      <w:r>
        <w:rPr>
          <w:rFonts w:hint="eastAsia" w:ascii="仿宋_GB2312" w:hAnsi="仿宋_GB2312" w:eastAsia="仿宋_GB2312" w:cs="仿宋_GB2312"/>
          <w:sz w:val="32"/>
          <w:szCs w:val="32"/>
        </w:rPr>
        <w:t>政府信息主动公开全清单</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信息公开指南、</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信息公开年度报告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行政许可</w:t>
      </w:r>
      <w:r>
        <w:rPr>
          <w:rFonts w:hint="eastAsia" w:ascii="仿宋_GB2312" w:hAnsi="仿宋_GB2312" w:eastAsia="仿宋_GB2312" w:cs="仿宋_GB2312"/>
          <w:sz w:val="32"/>
          <w:szCs w:val="32"/>
          <w:lang w:eastAsia="zh-CN"/>
        </w:rPr>
        <w:t>事项的“双公示”、</w:t>
      </w:r>
      <w:r>
        <w:rPr>
          <w:rFonts w:hint="eastAsia" w:ascii="仿宋_GB2312" w:hAnsi="仿宋_GB2312" w:eastAsia="仿宋_GB2312" w:cs="仿宋_GB2312"/>
          <w:sz w:val="32"/>
          <w:szCs w:val="32"/>
        </w:rPr>
        <w:t>权力清单、“双随机</w:t>
      </w:r>
      <w:r>
        <w:rPr>
          <w:rFonts w:hint="eastAsia" w:ascii="仿宋_GB2312" w:hAnsi="仿宋_GB2312" w:eastAsia="仿宋_GB2312" w:cs="仿宋_GB2312"/>
          <w:sz w:val="32"/>
          <w:szCs w:val="32"/>
          <w:lang w:eastAsia="zh-CN"/>
        </w:rPr>
        <w:t>、一公开”执法检查结果、</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执法人员</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highlight w:val="none"/>
          <w:lang w:val="en-US" w:eastAsia="zh-CN"/>
        </w:rPr>
        <w:t>财政预决算、“三公”经费等重要信息。及时</w:t>
      </w:r>
      <w:r>
        <w:rPr>
          <w:rFonts w:hint="eastAsia" w:ascii="仿宋_GB2312" w:hAnsi="仿宋_GB2312" w:eastAsia="仿宋_GB2312" w:cs="仿宋_GB2312"/>
          <w:sz w:val="32"/>
          <w:szCs w:val="32"/>
        </w:rPr>
        <w:t>公开部门文件及政策解读、日常工作业务动态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承办的人大建议与政协提案办理报告</w:t>
      </w:r>
      <w:r>
        <w:rPr>
          <w:rFonts w:hint="eastAsia" w:ascii="仿宋_GB2312" w:hAnsi="仿宋_GB2312" w:eastAsia="仿宋_GB2312" w:cs="仿宋_GB2312"/>
          <w:sz w:val="32"/>
          <w:szCs w:val="32"/>
          <w:lang w:eastAsia="zh-CN"/>
        </w:rPr>
        <w:t>等相关信息。</w:t>
      </w:r>
      <w:r>
        <w:rPr>
          <w:rFonts w:hint="eastAsia" w:ascii="仿宋_GB2312" w:hAnsi="仿宋_GB2312" w:eastAsia="仿宋_GB2312" w:cs="仿宋_GB2312"/>
          <w:sz w:val="32"/>
          <w:szCs w:val="32"/>
          <w:lang w:val="en-US" w:eastAsia="zh-CN"/>
        </w:rPr>
        <w:t xml:space="preserve">  </w:t>
      </w:r>
    </w:p>
    <w:p>
      <w:pPr>
        <w:widowControl/>
        <w:wordWrap/>
        <w:adjustRightInd/>
        <w:snapToGrid/>
        <w:spacing w:beforeLines="0" w:afterLines="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及时发布</w:t>
      </w:r>
      <w:r>
        <w:rPr>
          <w:rFonts w:hint="eastAsia" w:ascii="仿宋_GB2312" w:hAnsi="仿宋_GB2312" w:eastAsia="仿宋_GB2312" w:cs="仿宋_GB2312"/>
          <w:sz w:val="32"/>
          <w:szCs w:val="32"/>
          <w:lang w:eastAsia="zh-CN"/>
        </w:rPr>
        <w:t>《东城区</w:t>
      </w:r>
      <w:r>
        <w:rPr>
          <w:rFonts w:hint="eastAsia" w:ascii="仿宋_GB2312" w:hAnsi="仿宋_GB2312" w:eastAsia="仿宋_GB2312" w:cs="仿宋_GB2312"/>
          <w:sz w:val="32"/>
          <w:szCs w:val="32"/>
          <w:lang w:val="en-US" w:eastAsia="zh-CN"/>
        </w:rPr>
        <w:t>2024年重点工程计划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《关于北京市东城区202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年国民经济和社会发展计划执行情况与202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年国民经济和社会发展计划（草案）的报告》《关于东城区202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年国民经济和社会发展计划上半年执行情况的报告》</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公众的知晓率。</w:t>
      </w:r>
    </w:p>
    <w:p>
      <w:pPr>
        <w:wordWrap/>
        <w:adjustRightInd w:val="0"/>
        <w:snapToGrid w:val="0"/>
        <w:spacing w:beforeLines="0" w:afterLines="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）依申请公开办理情况</w:t>
      </w:r>
    </w:p>
    <w:p>
      <w:pPr>
        <w:wordWrap/>
        <w:adjustRightInd w:val="0"/>
        <w:snapToGrid w:val="0"/>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我委</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受理信息公开申请</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办理结果为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公开”的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“不属于本机关公开”的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“信息不存在”的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“不予公开”的</w:t>
      </w:r>
      <w:r>
        <w:rPr>
          <w:rFonts w:hint="eastAsia" w:ascii="仿宋_GB2312" w:hAnsi="仿宋_GB2312" w:eastAsia="仿宋_GB2312" w:cs="仿宋_GB2312"/>
          <w:sz w:val="32"/>
          <w:szCs w:val="32"/>
          <w:lang w:val="en-US" w:eastAsia="zh-CN"/>
        </w:rPr>
        <w:t>1件。</w:t>
      </w:r>
    </w:p>
    <w:p>
      <w:pPr>
        <w:wordWrap/>
        <w:adjustRightInd w:val="0"/>
        <w:snapToGrid w:val="0"/>
        <w:spacing w:beforeLines="0" w:afterLines="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）政府信息管理情况</w:t>
      </w:r>
    </w:p>
    <w:p>
      <w:pPr>
        <w:wordWrap/>
        <w:adjustRightInd w:val="0"/>
        <w:snapToGrid w:val="0"/>
        <w:spacing w:beforeLines="0" w:afterLines="0"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我委对照主动公开信息</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清单，督促</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科室及时发布</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严格做到信息发布规范、完整、准确</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公众的知晓率。</w:t>
      </w:r>
    </w:p>
    <w:p>
      <w:pPr>
        <w:wordWrap/>
        <w:adjustRightInd w:val="0"/>
        <w:snapToGrid w:val="0"/>
        <w:spacing w:beforeLines="0" w:afterLines="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）平台建设</w:t>
      </w:r>
    </w:p>
    <w:p>
      <w:pPr>
        <w:wordWrap/>
        <w:adjustRightInd w:val="0"/>
        <w:snapToGrid w:val="0"/>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我委对</w:t>
      </w:r>
      <w:r>
        <w:rPr>
          <w:rFonts w:hint="eastAsia" w:ascii="仿宋_GB2312" w:hAnsi="仿宋_GB2312" w:eastAsia="仿宋_GB2312" w:cs="仿宋_GB2312"/>
          <w:sz w:val="32"/>
          <w:szCs w:val="32"/>
        </w:rPr>
        <w:t>网站平台</w:t>
      </w:r>
      <w:r>
        <w:rPr>
          <w:rFonts w:hint="eastAsia" w:ascii="仿宋_GB2312" w:hAnsi="仿宋_GB2312" w:eastAsia="仿宋_GB2312" w:cs="仿宋_GB2312"/>
          <w:sz w:val="32"/>
          <w:szCs w:val="32"/>
          <w:lang w:eastAsia="zh-CN"/>
        </w:rPr>
        <w:t>中的</w:t>
      </w:r>
      <w:r>
        <w:rPr>
          <w:rFonts w:hint="eastAsia" w:ascii="仿宋_GB2312" w:hAnsi="仿宋_GB2312" w:eastAsia="仿宋_GB2312" w:cs="仿宋_GB2312"/>
          <w:color w:val="000000"/>
          <w:kern w:val="0"/>
          <w:sz w:val="32"/>
          <w:szCs w:val="32"/>
          <w:highlight w:val="none"/>
        </w:rPr>
        <w:t>优化营商环境东城在行动专栏中</w:t>
      </w:r>
      <w:r>
        <w:rPr>
          <w:rFonts w:hint="eastAsia" w:ascii="仿宋_GB2312" w:hAnsi="仿宋_GB2312" w:eastAsia="仿宋_GB2312" w:cs="仿宋_GB2312"/>
          <w:sz w:val="32"/>
          <w:szCs w:val="32"/>
          <w:lang w:eastAsia="zh-CN"/>
        </w:rPr>
        <w:t>，及时更新</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完善栏目</w:t>
      </w:r>
      <w:r>
        <w:rPr>
          <w:rFonts w:hint="eastAsia" w:ascii="仿宋_GB2312" w:hAnsi="仿宋_GB2312" w:eastAsia="仿宋_GB2312" w:cs="仿宋_GB2312"/>
          <w:sz w:val="32"/>
          <w:szCs w:val="32"/>
          <w:lang w:eastAsia="zh-CN"/>
        </w:rPr>
        <w:t>信息。</w:t>
      </w:r>
    </w:p>
    <w:p>
      <w:pPr>
        <w:pStyle w:val="2"/>
        <w:numPr>
          <w:ilvl w:val="0"/>
          <w:numId w:val="0"/>
        </w:numPr>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highlight w:val="none"/>
          <w:lang w:eastAsia="zh-CN"/>
        </w:rPr>
        <w:t>（</w:t>
      </w:r>
      <w:r>
        <w:rPr>
          <w:rFonts w:hint="eastAsia" w:ascii="楷体_GB2312" w:hAnsi="楷体_GB2312" w:eastAsia="楷体_GB2312" w:cs="楷体_GB2312"/>
          <w:color w:val="000000"/>
          <w:kern w:val="0"/>
          <w:sz w:val="32"/>
          <w:szCs w:val="32"/>
          <w:highlight w:val="none"/>
          <w:lang w:val="en-US" w:eastAsia="zh-CN"/>
        </w:rPr>
        <w:t>七</w:t>
      </w:r>
      <w:r>
        <w:rPr>
          <w:rFonts w:hint="eastAsia" w:ascii="楷体_GB2312" w:hAnsi="楷体_GB2312" w:eastAsia="楷体_GB2312" w:cs="楷体_GB2312"/>
          <w:color w:val="000000"/>
          <w:kern w:val="0"/>
          <w:sz w:val="32"/>
          <w:szCs w:val="32"/>
          <w:highlight w:val="none"/>
          <w:lang w:eastAsia="zh-CN"/>
        </w:rPr>
        <w:t>）教育培训和监督保障</w:t>
      </w:r>
    </w:p>
    <w:p>
      <w:pPr>
        <w:pStyle w:val="2"/>
        <w:numPr>
          <w:ilvl w:val="0"/>
          <w:numId w:val="0"/>
        </w:numPr>
        <w:spacing w:beforeLines="0" w:afterLines="0" w:line="56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修订</w:t>
      </w:r>
      <w:r>
        <w:rPr>
          <w:rFonts w:hint="eastAsia" w:ascii="仿宋_GB2312" w:hAnsi="仿宋_GB2312" w:eastAsia="仿宋_GB2312" w:cs="仿宋_GB2312"/>
          <w:color w:val="000000"/>
          <w:kern w:val="0"/>
          <w:sz w:val="32"/>
          <w:szCs w:val="32"/>
          <w:highlight w:val="none"/>
        </w:rPr>
        <w:t>完善</w:t>
      </w:r>
      <w:r>
        <w:rPr>
          <w:rFonts w:hint="eastAsia" w:ascii="仿宋_GB2312" w:hAnsi="仿宋_GB2312" w:eastAsia="仿宋_GB2312" w:cs="仿宋_GB2312"/>
          <w:color w:val="000000"/>
          <w:kern w:val="0"/>
          <w:sz w:val="32"/>
          <w:szCs w:val="32"/>
          <w:highlight w:val="none"/>
          <w:lang w:eastAsia="zh-CN"/>
        </w:rPr>
        <w:t>我委的</w:t>
      </w:r>
      <w:r>
        <w:rPr>
          <w:rFonts w:hint="eastAsia" w:ascii="仿宋_GB2312" w:hAnsi="仿宋_GB2312" w:eastAsia="仿宋_GB2312" w:cs="仿宋_GB2312"/>
          <w:color w:val="000000"/>
          <w:kern w:val="0"/>
          <w:sz w:val="32"/>
          <w:szCs w:val="32"/>
          <w:highlight w:val="none"/>
        </w:rPr>
        <w:t>政府信息主动公开、依申请公开、保密审查等</w:t>
      </w:r>
      <w:r>
        <w:rPr>
          <w:rFonts w:hint="eastAsia" w:ascii="仿宋_GB2312" w:hAnsi="仿宋_GB2312" w:eastAsia="仿宋_GB2312" w:cs="仿宋_GB2312"/>
          <w:color w:val="000000"/>
          <w:kern w:val="0"/>
          <w:sz w:val="32"/>
          <w:szCs w:val="32"/>
          <w:highlight w:val="none"/>
          <w:lang w:eastAsia="zh-CN"/>
        </w:rPr>
        <w:t>多项内控</w:t>
      </w:r>
      <w:r>
        <w:rPr>
          <w:rFonts w:hint="eastAsia" w:ascii="仿宋_GB2312" w:hAnsi="仿宋_GB2312" w:eastAsia="仿宋_GB2312" w:cs="仿宋_GB2312"/>
          <w:color w:val="000000"/>
          <w:kern w:val="0"/>
          <w:sz w:val="32"/>
          <w:szCs w:val="32"/>
          <w:highlight w:val="none"/>
        </w:rPr>
        <w:t>制度</w:t>
      </w:r>
      <w:r>
        <w:rPr>
          <w:rFonts w:hint="eastAsia" w:ascii="仿宋_GB2312" w:hAnsi="仿宋_GB2312" w:eastAsia="仿宋_GB2312" w:cs="仿宋_GB2312"/>
          <w:color w:val="000000"/>
          <w:kern w:val="0"/>
          <w:sz w:val="32"/>
          <w:szCs w:val="32"/>
          <w:highlight w:val="none"/>
          <w:lang w:eastAsia="zh-CN"/>
        </w:rPr>
        <w:t>。积极参加全区的政务</w:t>
      </w:r>
      <w:r>
        <w:rPr>
          <w:rFonts w:hint="eastAsia" w:ascii="仿宋_GB2312" w:hAnsi="仿宋_GB2312" w:eastAsia="仿宋_GB2312" w:cs="仿宋_GB2312"/>
          <w:color w:val="000000"/>
          <w:kern w:val="0"/>
          <w:sz w:val="32"/>
          <w:szCs w:val="32"/>
          <w:highlight w:val="none"/>
          <w:lang w:val="en-US" w:eastAsia="zh-CN"/>
        </w:rPr>
        <w:t>公开</w:t>
      </w:r>
      <w:r>
        <w:rPr>
          <w:rFonts w:hint="eastAsia" w:ascii="仿宋_GB2312" w:hAnsi="仿宋_GB2312" w:eastAsia="仿宋_GB2312" w:cs="仿宋_GB2312"/>
          <w:color w:val="000000"/>
          <w:kern w:val="0"/>
          <w:sz w:val="32"/>
          <w:szCs w:val="32"/>
          <w:highlight w:val="none"/>
          <w:lang w:eastAsia="zh-CN"/>
        </w:rPr>
        <w:t>培训，并定期由法律顾问对本委新入职人员进行信息公开的法律知识和业务工作开展培训。</w:t>
      </w:r>
    </w:p>
    <w:p>
      <w:pPr>
        <w:pStyle w:val="2"/>
        <w:numPr>
          <w:ilvl w:val="0"/>
          <w:numId w:val="0"/>
        </w:numPr>
        <w:ind w:firstLine="640" w:firstLineChars="200"/>
        <w:rPr>
          <w:rFonts w:hint="default" w:ascii="Times New Roman" w:hAnsi="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主动公开政府信息情况</w:t>
      </w:r>
    </w:p>
    <w:tbl>
      <w:tblPr>
        <w:tblStyle w:val="6"/>
        <w:tblW w:w="89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本年废止件数</w:t>
            </w:r>
          </w:p>
        </w:tc>
        <w:tc>
          <w:tcPr>
            <w:tcW w:w="1678"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现行有效件</w:t>
            </w:r>
            <w:r>
              <w:rPr>
                <w:rFonts w:hint="default" w:ascii="Times New Roman" w:hAnsi="Times New Roman" w:eastAsia="宋体" w:cs="Times New Roman"/>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c>
          <w:tcPr>
            <w:tcW w:w="167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Times New Roman"/>
                <w:color w:val="000000"/>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c>
          <w:tcPr>
            <w:tcW w:w="167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Times New Roman"/>
                <w:kern w:val="0"/>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信息内容</w:t>
            </w:r>
          </w:p>
        </w:tc>
        <w:tc>
          <w:tcPr>
            <w:tcW w:w="6548"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行政许可</w:t>
            </w:r>
          </w:p>
        </w:tc>
        <w:tc>
          <w:tcPr>
            <w:tcW w:w="6548"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kern w:val="0"/>
                <w:sz w:val="21"/>
                <w:szCs w:val="21"/>
                <w:lang w:val="en-US" w:eastAsia="zh-CN"/>
              </w:rPr>
              <w:t xml:space="preserve">                                 </w:t>
            </w:r>
            <w:r>
              <w:rPr>
                <w:rFonts w:hint="eastAsia" w:cs="Times New Roman"/>
                <w:kern w:val="0"/>
                <w:sz w:val="21"/>
                <w:szCs w:val="21"/>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信息内容</w:t>
            </w:r>
          </w:p>
        </w:tc>
        <w:tc>
          <w:tcPr>
            <w:tcW w:w="6548"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行政处罚</w:t>
            </w:r>
          </w:p>
        </w:tc>
        <w:tc>
          <w:tcPr>
            <w:tcW w:w="6548"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行政强制</w:t>
            </w:r>
          </w:p>
        </w:tc>
        <w:tc>
          <w:tcPr>
            <w:tcW w:w="6548"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983"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信息内容</w:t>
            </w:r>
          </w:p>
        </w:tc>
        <w:tc>
          <w:tcPr>
            <w:tcW w:w="6548"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color w:val="000000"/>
                <w:kern w:val="0"/>
                <w:sz w:val="20"/>
                <w:szCs w:val="20"/>
                <w:lang w:val="en-US" w:eastAsia="zh-CN"/>
              </w:rPr>
              <w:t>行政事业性收费</w:t>
            </w:r>
          </w:p>
        </w:tc>
        <w:tc>
          <w:tcPr>
            <w:tcW w:w="6548"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Times New Roman" w:eastAsia="宋体"/>
                <w:sz w:val="24"/>
                <w:szCs w:val="24"/>
                <w:lang w:val="en-US" w:eastAsia="zh-CN"/>
              </w:rPr>
            </w:pPr>
            <w:r>
              <w:rPr>
                <w:rFonts w:hint="default" w:ascii="Times New Roman"/>
                <w:sz w:val="24"/>
                <w:szCs w:val="24"/>
                <w:lang w:val="en-US" w:eastAsia="zh-CN"/>
              </w:rPr>
              <w:t>0</w:t>
            </w:r>
          </w:p>
        </w:tc>
      </w:tr>
    </w:tbl>
    <w:p>
      <w:pPr>
        <w:pStyle w:val="2"/>
        <w:numPr>
          <w:ilvl w:val="0"/>
          <w:numId w:val="0"/>
        </w:numPr>
        <w:rPr>
          <w:rFonts w:hint="default" w:ascii="Times New Roman" w:hAnsi="Times New Roman"/>
        </w:rPr>
      </w:pPr>
    </w:p>
    <w:p>
      <w:pPr>
        <w:widowControl w:val="0"/>
        <w:numPr>
          <w:ilvl w:val="0"/>
          <w:numId w:val="0"/>
        </w:numPr>
        <w:wordWrap/>
        <w:adjustRightInd/>
        <w:snapToGrid/>
        <w:spacing w:after="625" w:afterLines="200" w:line="560" w:lineRule="exact"/>
        <w:ind w:leftChars="200"/>
        <w:textAlignment w:val="auto"/>
        <w:rPr>
          <w:rFonts w:hint="default" w:ascii="Times New Roman" w:hAnsi="Times New Roman" w:eastAsia="宋体" w:cs="Times New Roman"/>
          <w:i w:val="0"/>
          <w:caps w:val="0"/>
          <w:color w:val="333333"/>
          <w:spacing w:val="0"/>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013"/>
        <w:gridCol w:w="895"/>
        <w:gridCol w:w="688"/>
        <w:gridCol w:w="688"/>
        <w:gridCol w:w="688"/>
        <w:gridCol w:w="688"/>
        <w:gridCol w:w="598"/>
        <w:gridCol w:w="7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Times New Roman" w:hAnsi="Times New Roman" w:eastAsia="楷体" w:cs="Times New Roman"/>
                <w:kern w:val="0"/>
                <w:sz w:val="20"/>
                <w:szCs w:val="20"/>
                <w:lang w:val="en-US" w:eastAsia="zh-CN"/>
              </w:rPr>
              <w:t>（本列数据的勾稽关系为：第一项加第二项之和，等于第三项加第四项之和）</w:t>
            </w:r>
          </w:p>
        </w:tc>
        <w:tc>
          <w:tcPr>
            <w:tcW w:w="5024"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default" w:ascii="Times New Roman"/>
                <w:sz w:val="24"/>
                <w:szCs w:val="24"/>
              </w:rPr>
            </w:pPr>
          </w:p>
        </w:tc>
        <w:tc>
          <w:tcPr>
            <w:tcW w:w="895"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自然人</w:t>
            </w:r>
          </w:p>
        </w:tc>
        <w:tc>
          <w:tcPr>
            <w:tcW w:w="335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法人或其他组织</w:t>
            </w:r>
          </w:p>
        </w:tc>
        <w:tc>
          <w:tcPr>
            <w:tcW w:w="77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default" w:ascii="Times New Roman"/>
                <w:sz w:val="24"/>
                <w:szCs w:val="24"/>
              </w:rPr>
            </w:pPr>
          </w:p>
        </w:tc>
        <w:tc>
          <w:tcPr>
            <w:tcW w:w="895"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default" w:ascii="Times New Roman"/>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法律服务机构</w:t>
            </w:r>
          </w:p>
        </w:tc>
        <w:tc>
          <w:tcPr>
            <w:tcW w:w="59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eastAsia="宋体" w:cs="Times New Roman"/>
                <w:kern w:val="0"/>
                <w:sz w:val="20"/>
                <w:szCs w:val="20"/>
                <w:lang w:val="en-US" w:eastAsia="zh-CN"/>
              </w:rPr>
              <w:t>其他</w:t>
            </w:r>
          </w:p>
        </w:tc>
        <w:tc>
          <w:tcPr>
            <w:tcW w:w="77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default" w:ascii="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一、本年新收政府信息公开申请数量</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19</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二、上年结转政府信息公开申请数量</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三、本年度办理结果</w:t>
            </w:r>
          </w:p>
        </w:tc>
        <w:tc>
          <w:tcPr>
            <w:tcW w:w="3956"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（一）予以公开</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3956"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（二）部分公开</w:t>
            </w:r>
            <w:r>
              <w:rPr>
                <w:rFonts w:hint="default" w:ascii="Times New Roman" w:hAnsi="Times New Roman" w:eastAsia="楷体" w:cs="Times New Roman"/>
                <w:kern w:val="0"/>
                <w:sz w:val="20"/>
                <w:szCs w:val="20"/>
                <w:lang w:val="en-US" w:eastAsia="zh-CN"/>
              </w:rPr>
              <w:t>（区分处理的，只计这一情形，不计其他情形）</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pStyle w:val="2"/>
              <w:ind w:firstLine="0" w:firstLine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kern w:val="0"/>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（三）不予公开</w:t>
            </w: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1.属于国家秘密</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2.其他法律行政法规禁止公开</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3.危及“三安全一稳定”</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4.保护第三方合法权益</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5.属于三类内部事务信息</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6.属于四类过程性信息</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7.属于行政执法案卷</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8.属于行政查询事项</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（四）无法提供</w:t>
            </w: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1.本机关不掌握相关政府信息</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2.没有现成信息需要另行制作</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3.补正后申请内容仍不明确</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（五）不予处理</w:t>
            </w: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1.信访举报投诉类申请</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2.重复申请</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3.要求提供公开出版物</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4.无正当理由大量反复申请</w:t>
            </w:r>
          </w:p>
        </w:tc>
        <w:tc>
          <w:tcPr>
            <w:tcW w:w="895"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240" w:lineRule="auto"/>
              <w:ind w:left="0" w:leftChars="0" w:right="0" w:firstLine="0" w:firstLineChars="0"/>
              <w:jc w:val="left"/>
              <w:textAlignment w:val="auto"/>
              <w:outlineLvl w:val="9"/>
            </w:pPr>
            <w:r>
              <w:rPr>
                <w:rFonts w:hint="default" w:ascii="Times New Roman" w:hAnsi="Times New Roman" w:eastAsia="宋体" w:cs="Times New Roman"/>
                <w:kern w:val="0"/>
                <w:sz w:val="20"/>
                <w:szCs w:val="20"/>
                <w:lang w:val="en-US" w:eastAsia="zh-CN"/>
              </w:rPr>
              <w:t>5.要求行政机关确认或重新出具已获取信息</w:t>
            </w:r>
          </w:p>
        </w:tc>
        <w:tc>
          <w:tcPr>
            <w:tcW w:w="895"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restart"/>
            <w:tcBorders>
              <w:left w:val="nil"/>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（六）其他处理</w:t>
            </w:r>
          </w:p>
        </w:tc>
        <w:tc>
          <w:tcPr>
            <w:tcW w:w="3013"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1.申请人无正当理由逾期不补正、行政机关不再处理其政府信息公开申请</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1"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left w:val="nil"/>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2.申请人逾期未按收费通知要求缴纳费用、行政机关不再处理其政府信息公开申请</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kern w:val="0"/>
                <w:sz w:val="21"/>
                <w:szCs w:val="21"/>
                <w:lang w:val="en-US" w:eastAsia="zh-CN"/>
              </w:rPr>
            </w:pP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943" w:type="dxa"/>
            <w:vMerge w:val="continue"/>
            <w:tcBorders>
              <w:left w:val="nil"/>
              <w:bottom w:val="outset" w:color="auto" w:sz="8" w:space="0"/>
              <w:right w:val="single" w:color="auto" w:sz="8" w:space="0"/>
            </w:tcBorders>
            <w:shd w:val="clear" w:color="auto" w:fill="DDEBF7"/>
            <w:tcMar>
              <w:left w:w="57" w:type="dxa"/>
              <w:right w:w="57" w:type="dxa"/>
            </w:tcMar>
            <w:vAlign w:val="center"/>
          </w:tcPr>
          <w:p>
            <w:pPr>
              <w:rPr>
                <w:rFonts w:hint="default" w:ascii="Times New Roman"/>
                <w:sz w:val="24"/>
                <w:szCs w:val="24"/>
              </w:rPr>
            </w:pPr>
          </w:p>
        </w:tc>
        <w:tc>
          <w:tcPr>
            <w:tcW w:w="3013"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3.其他</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default" w:ascii="Times New Roman"/>
                <w:sz w:val="24"/>
                <w:szCs w:val="24"/>
              </w:rPr>
            </w:pPr>
          </w:p>
        </w:tc>
        <w:tc>
          <w:tcPr>
            <w:tcW w:w="3956"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（七）总计</w:t>
            </w:r>
          </w:p>
        </w:tc>
        <w:tc>
          <w:tcPr>
            <w:tcW w:w="89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20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eastAsia" w:eastAsia="仿宋_GB2312" w:cs="Times New Roman"/>
                <w:kern w:val="0"/>
                <w:sz w:val="21"/>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0</w:t>
            </w:r>
          </w:p>
        </w:tc>
        <w:tc>
          <w:tcPr>
            <w:tcW w:w="59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sz w:val="21"/>
                <w:szCs w:val="21"/>
                <w:lang w:val="en-US" w:eastAsia="zh-CN"/>
              </w:rPr>
              <w:t>0</w:t>
            </w:r>
          </w:p>
        </w:tc>
        <w:tc>
          <w:tcPr>
            <w:tcW w:w="77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21"/>
                <w:szCs w:val="21"/>
              </w:rPr>
            </w:pPr>
            <w:r>
              <w:rPr>
                <w:rFonts w:hint="eastAsia" w:eastAsia="仿宋_GB2312" w:cs="Times New Roman"/>
                <w:kern w:val="0"/>
                <w:sz w:val="21"/>
                <w:szCs w:val="21"/>
                <w:lang w:val="en-US" w:eastAsia="zh-CN"/>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24"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kern w:val="0"/>
                <w:sz w:val="20"/>
                <w:szCs w:val="20"/>
                <w:lang w:val="en-US" w:eastAsia="zh-CN"/>
              </w:rPr>
              <w:t>四、结转下年度继续办理</w:t>
            </w:r>
          </w:p>
        </w:tc>
        <w:tc>
          <w:tcPr>
            <w:tcW w:w="895"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98"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79" w:type="dxa"/>
            <w:tcBorders>
              <w:top w:val="outset" w:color="auto" w:sz="6" w:space="0"/>
              <w:left w:val="nil"/>
              <w:bottom w:val="outset" w:color="auto" w:sz="6" w:space="0"/>
              <w:right w:val="outset" w:color="auto" w:sz="6" w:space="0"/>
            </w:tcBorders>
            <w:vAlign w:val="center"/>
          </w:tcPr>
          <w:p>
            <w:pPr>
              <w:jc w:val="center"/>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0</w:t>
            </w:r>
          </w:p>
        </w:tc>
      </w:tr>
    </w:tbl>
    <w:p>
      <w:pPr>
        <w:spacing w:line="560" w:lineRule="exact"/>
        <w:ind w:firstLine="0" w:firstLineChars="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58"/>
        <w:gridCol w:w="640"/>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4"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行政复议</w:t>
            </w:r>
          </w:p>
        </w:tc>
        <w:tc>
          <w:tcPr>
            <w:tcW w:w="6494"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5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总计</w:t>
            </w:r>
          </w:p>
        </w:tc>
        <w:tc>
          <w:tcPr>
            <w:tcW w:w="3239"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5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sz w:val="24"/>
                <w:szCs w:val="24"/>
              </w:rPr>
            </w:pPr>
          </w:p>
        </w:tc>
        <w:tc>
          <w:tcPr>
            <w:tcW w:w="64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其他</w:t>
            </w:r>
            <w:r>
              <w:rPr>
                <w:rFonts w:hint="default" w:ascii="Times New Roman" w:hAnsi="Times New Roman" w:eastAsia="宋体" w:cs="Times New Roman"/>
                <w:color w:val="000000"/>
                <w:kern w:val="0"/>
                <w:sz w:val="20"/>
                <w:szCs w:val="20"/>
                <w:lang w:val="en-US" w:eastAsia="zh-CN"/>
              </w:rPr>
              <w:br w:type="textWrapping"/>
            </w:r>
            <w:r>
              <w:rPr>
                <w:rFonts w:hint="default" w:ascii="Times New Roman" w:hAnsi="Times New Roman" w:eastAsia="宋体" w:cs="Times New Roman"/>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宋体" w:cs="Times New Roman"/>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eastAsia="黑体" w:cs="Times New Roman"/>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8"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eastAsia="黑体" w:cs="Times New Roman"/>
                <w:kern w:val="0"/>
                <w:sz w:val="20"/>
                <w:szCs w:val="20"/>
                <w:lang w:val="en-US" w:eastAsia="zh-CN"/>
              </w:rPr>
              <w:t>1</w:t>
            </w:r>
          </w:p>
        </w:tc>
        <w:tc>
          <w:tcPr>
            <w:tcW w:w="64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Times New Roman" w:hAnsi="Times New Roman" w:eastAsia="黑体" w:cs="Times New Roman"/>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default" w:ascii="Times New Roman" w:eastAsia="宋体"/>
                <w:sz w:val="24"/>
                <w:szCs w:val="24"/>
                <w:lang w:val="en-US" w:eastAsia="zh-CN"/>
              </w:rPr>
            </w:pPr>
            <w:r>
              <w:rPr>
                <w:rFonts w:hint="default" w:ascii="Times New Roman"/>
                <w:sz w:val="24"/>
                <w:szCs w:val="24"/>
                <w:lang w:val="en-US" w:eastAsia="zh-CN"/>
              </w:rPr>
              <w:t>0</w:t>
            </w:r>
          </w:p>
        </w:tc>
      </w:tr>
    </w:tbl>
    <w:p>
      <w:pPr>
        <w:widowControl/>
        <w:jc w:val="left"/>
      </w:pPr>
    </w:p>
    <w:p>
      <w:pPr>
        <w:widowControl/>
        <w:wordWrap/>
        <w:adjustRightInd w:val="0"/>
        <w:snapToGrid w:val="0"/>
        <w:spacing w:beforeLines="0" w:afterLines="0" w:line="560" w:lineRule="exact"/>
        <w:ind w:firstLine="672" w:firstLineChars="200"/>
        <w:jc w:val="left"/>
        <w:textAlignment w:val="auto"/>
        <w:rPr>
          <w:rFonts w:hint="default" w:ascii="Times New Roman" w:hAnsi="Times New Roman" w:cs="Times New Roman"/>
          <w:spacing w:val="8"/>
          <w:kern w:val="0"/>
          <w:sz w:val="32"/>
          <w:szCs w:val="32"/>
        </w:rPr>
      </w:pPr>
      <w:r>
        <w:rPr>
          <w:rFonts w:hint="default" w:ascii="Times New Roman" w:hAnsi="Times New Roman" w:eastAsia="黑体" w:cs="Times New Roman"/>
          <w:spacing w:val="8"/>
          <w:kern w:val="0"/>
          <w:sz w:val="32"/>
          <w:szCs w:val="32"/>
        </w:rPr>
        <w:t>五、存在的主要问题及改进情况</w:t>
      </w:r>
    </w:p>
    <w:p>
      <w:pPr>
        <w:wordWrap/>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000000"/>
          <w:spacing w:val="0"/>
          <w:kern w:val="0"/>
          <w:sz w:val="32"/>
          <w:szCs w:val="32"/>
          <w:highlight w:val="none"/>
          <w:shd w:val="clear" w:color="090000" w:fill="auto"/>
          <w:lang w:eastAsia="zh-CN"/>
        </w:rPr>
      </w:pPr>
      <w:r>
        <w:rPr>
          <w:rFonts w:hint="eastAsia" w:ascii="仿宋_GB2312" w:hAnsi="仿宋_GB2312" w:eastAsia="仿宋_GB2312" w:cs="仿宋_GB2312"/>
          <w:b w:val="0"/>
          <w:bCs w:val="0"/>
          <w:color w:val="000000"/>
          <w:spacing w:val="0"/>
          <w:kern w:val="0"/>
          <w:sz w:val="32"/>
          <w:szCs w:val="32"/>
          <w:highlight w:val="none"/>
          <w:shd w:val="clear" w:color="090000" w:fill="auto"/>
          <w:lang w:eastAsia="zh-CN"/>
        </w:rPr>
        <w:t>主动公开中的</w:t>
      </w:r>
      <w:r>
        <w:rPr>
          <w:rFonts w:hint="eastAsia" w:ascii="仿宋_GB2312" w:hAnsi="仿宋_GB2312" w:eastAsia="仿宋_GB2312" w:cs="仿宋_GB2312"/>
          <w:i w:val="0"/>
          <w:caps w:val="0"/>
          <w:color w:val="404040"/>
          <w:spacing w:val="0"/>
          <w:sz w:val="32"/>
          <w:szCs w:val="32"/>
          <w:shd w:val="clear" w:fill="FFFFFF"/>
          <w:vertAlign w:val="baseline"/>
        </w:rPr>
        <w:t>信息</w:t>
      </w:r>
      <w:r>
        <w:rPr>
          <w:rFonts w:hint="eastAsia" w:ascii="仿宋_GB2312" w:hAnsi="仿宋_GB2312" w:eastAsia="仿宋_GB2312" w:cs="仿宋_GB2312"/>
          <w:i w:val="0"/>
          <w:caps w:val="0"/>
          <w:color w:val="404040"/>
          <w:spacing w:val="0"/>
          <w:sz w:val="32"/>
          <w:szCs w:val="32"/>
          <w:shd w:val="clear" w:fill="FFFFFF"/>
          <w:vertAlign w:val="baseline"/>
          <w:lang w:eastAsia="zh-CN"/>
        </w:rPr>
        <w:t>多以</w:t>
      </w:r>
      <w:r>
        <w:rPr>
          <w:rFonts w:hint="eastAsia" w:ascii="仿宋_GB2312" w:hAnsi="仿宋_GB2312" w:eastAsia="仿宋_GB2312" w:cs="仿宋_GB2312"/>
          <w:i w:val="0"/>
          <w:caps w:val="0"/>
          <w:color w:val="404040"/>
          <w:spacing w:val="0"/>
          <w:sz w:val="32"/>
          <w:szCs w:val="32"/>
          <w:shd w:val="clear" w:fill="FFFFFF"/>
          <w:vertAlign w:val="baseline"/>
        </w:rPr>
        <w:t>工作动态</w:t>
      </w:r>
      <w:r>
        <w:rPr>
          <w:rFonts w:hint="eastAsia" w:ascii="仿宋_GB2312" w:hAnsi="仿宋_GB2312" w:eastAsia="仿宋_GB2312" w:cs="仿宋_GB2312"/>
          <w:i w:val="0"/>
          <w:caps w:val="0"/>
          <w:color w:val="404040"/>
          <w:spacing w:val="0"/>
          <w:sz w:val="32"/>
          <w:szCs w:val="32"/>
          <w:shd w:val="clear" w:fill="FFFFFF"/>
          <w:vertAlign w:val="baseline"/>
          <w:lang w:eastAsia="zh-CN"/>
        </w:rPr>
        <w:t>为主</w:t>
      </w:r>
      <w:r>
        <w:rPr>
          <w:rFonts w:hint="eastAsia" w:ascii="仿宋_GB2312" w:hAnsi="仿宋_GB2312" w:eastAsia="仿宋_GB2312" w:cs="仿宋_GB2312"/>
          <w:i w:val="0"/>
          <w:caps w:val="0"/>
          <w:color w:val="404040"/>
          <w:spacing w:val="0"/>
          <w:sz w:val="32"/>
          <w:szCs w:val="32"/>
          <w:shd w:val="clear" w:fill="FFFFFF"/>
          <w:vertAlign w:val="baseline"/>
        </w:rPr>
        <w:t>，</w:t>
      </w:r>
      <w:r>
        <w:rPr>
          <w:rFonts w:hint="eastAsia" w:ascii="仿宋_GB2312" w:hAnsi="仿宋_GB2312" w:eastAsia="仿宋_GB2312" w:cs="仿宋_GB2312"/>
          <w:b w:val="0"/>
          <w:bCs w:val="0"/>
          <w:color w:val="000000"/>
          <w:spacing w:val="0"/>
          <w:kern w:val="0"/>
          <w:sz w:val="32"/>
          <w:szCs w:val="32"/>
          <w:highlight w:val="none"/>
          <w:shd w:val="clear" w:color="090000" w:fill="auto"/>
          <w:lang w:eastAsia="zh-CN"/>
        </w:rPr>
        <w:t>形式上相对比较单一，</w:t>
      </w:r>
      <w:r>
        <w:rPr>
          <w:rFonts w:hint="eastAsia" w:ascii="仿宋_GB2312" w:hAnsi="仿宋_GB2312" w:eastAsia="仿宋_GB2312" w:cs="仿宋_GB2312"/>
          <w:i w:val="0"/>
          <w:caps w:val="0"/>
          <w:color w:val="404040"/>
          <w:spacing w:val="0"/>
          <w:sz w:val="32"/>
          <w:szCs w:val="32"/>
          <w:shd w:val="clear" w:fill="FFFFFF"/>
          <w:vertAlign w:val="baseline"/>
        </w:rPr>
        <w:t>信息</w:t>
      </w:r>
      <w:r>
        <w:rPr>
          <w:rFonts w:hint="eastAsia" w:ascii="仿宋_GB2312" w:hAnsi="仿宋_GB2312" w:eastAsia="仿宋_GB2312" w:cs="仿宋_GB2312"/>
          <w:i w:val="0"/>
          <w:caps w:val="0"/>
          <w:color w:val="404040"/>
          <w:spacing w:val="0"/>
          <w:sz w:val="32"/>
          <w:szCs w:val="32"/>
          <w:shd w:val="clear" w:fill="FFFFFF"/>
          <w:vertAlign w:val="baseline"/>
          <w:lang w:eastAsia="zh-CN"/>
        </w:rPr>
        <w:t>的丰富</w:t>
      </w:r>
      <w:r>
        <w:rPr>
          <w:rFonts w:hint="eastAsia" w:ascii="仿宋_GB2312" w:hAnsi="仿宋_GB2312" w:eastAsia="仿宋_GB2312" w:cs="仿宋_GB2312"/>
          <w:i w:val="0"/>
          <w:caps w:val="0"/>
          <w:color w:val="404040"/>
          <w:spacing w:val="0"/>
          <w:sz w:val="32"/>
          <w:szCs w:val="32"/>
          <w:shd w:val="clear" w:fill="FFFFFF"/>
          <w:vertAlign w:val="baseline"/>
        </w:rPr>
        <w:t>度</w:t>
      </w:r>
      <w:r>
        <w:rPr>
          <w:rFonts w:hint="eastAsia" w:ascii="仿宋_GB2312" w:hAnsi="仿宋_GB2312" w:eastAsia="仿宋_GB2312" w:cs="仿宋_GB2312"/>
          <w:i w:val="0"/>
          <w:caps w:val="0"/>
          <w:color w:val="404040"/>
          <w:spacing w:val="0"/>
          <w:sz w:val="32"/>
          <w:szCs w:val="32"/>
          <w:shd w:val="clear" w:fill="FFFFFF"/>
          <w:vertAlign w:val="baseline"/>
          <w:lang w:eastAsia="zh-CN"/>
        </w:rPr>
        <w:t>有所</w:t>
      </w:r>
      <w:r>
        <w:rPr>
          <w:rFonts w:hint="eastAsia" w:ascii="仿宋_GB2312" w:hAnsi="仿宋_GB2312" w:eastAsia="仿宋_GB2312" w:cs="仿宋_GB2312"/>
          <w:i w:val="0"/>
          <w:caps w:val="0"/>
          <w:color w:val="404040"/>
          <w:spacing w:val="0"/>
          <w:sz w:val="32"/>
          <w:szCs w:val="32"/>
          <w:shd w:val="clear" w:fill="FFFFFF"/>
          <w:vertAlign w:val="baseline"/>
        </w:rPr>
        <w:t>不足</w:t>
      </w:r>
      <w:r>
        <w:rPr>
          <w:rFonts w:hint="eastAsia" w:ascii="仿宋_GB2312" w:hAnsi="仿宋_GB2312" w:eastAsia="仿宋_GB2312" w:cs="仿宋_GB2312"/>
          <w:i w:val="0"/>
          <w:caps w:val="0"/>
          <w:color w:val="404040"/>
          <w:spacing w:val="0"/>
          <w:sz w:val="32"/>
          <w:szCs w:val="32"/>
          <w:shd w:val="clear" w:fill="FFFFFF"/>
          <w:vertAlign w:val="baseline"/>
          <w:lang w:eastAsia="zh-CN"/>
        </w:rPr>
        <w:t>，</w:t>
      </w:r>
      <w:r>
        <w:rPr>
          <w:rFonts w:hint="eastAsia" w:ascii="仿宋_GB2312" w:hAnsi="仿宋_GB2312" w:eastAsia="仿宋_GB2312" w:cs="仿宋_GB2312"/>
          <w:i w:val="0"/>
          <w:caps w:val="0"/>
          <w:color w:val="404040"/>
          <w:spacing w:val="0"/>
          <w:sz w:val="32"/>
          <w:szCs w:val="32"/>
          <w:shd w:val="clear" w:fill="FFFFFF"/>
          <w:vertAlign w:val="baseline"/>
        </w:rPr>
        <w:t>缺乏</w:t>
      </w:r>
      <w:r>
        <w:rPr>
          <w:rFonts w:hint="eastAsia" w:ascii="仿宋_GB2312" w:hAnsi="仿宋_GB2312" w:eastAsia="仿宋_GB2312" w:cs="仿宋_GB2312"/>
          <w:i w:val="0"/>
          <w:caps w:val="0"/>
          <w:color w:val="404040"/>
          <w:spacing w:val="0"/>
          <w:sz w:val="32"/>
          <w:szCs w:val="32"/>
          <w:shd w:val="clear" w:fill="FFFFFF"/>
          <w:vertAlign w:val="baseline"/>
          <w:lang w:eastAsia="zh-CN"/>
        </w:rPr>
        <w:t>有</w:t>
      </w:r>
      <w:r>
        <w:rPr>
          <w:rFonts w:hint="eastAsia" w:ascii="仿宋_GB2312" w:hAnsi="仿宋_GB2312" w:eastAsia="仿宋_GB2312" w:cs="仿宋_GB2312"/>
          <w:i w:val="0"/>
          <w:caps w:val="0"/>
          <w:color w:val="404040"/>
          <w:spacing w:val="0"/>
          <w:sz w:val="32"/>
          <w:szCs w:val="32"/>
          <w:shd w:val="clear" w:fill="FFFFFF"/>
          <w:vertAlign w:val="baseline"/>
        </w:rPr>
        <w:t>特色性的内容</w:t>
      </w:r>
      <w:r>
        <w:rPr>
          <w:rFonts w:hint="eastAsia" w:ascii="仿宋_GB2312" w:hAnsi="仿宋_GB2312" w:eastAsia="仿宋_GB2312" w:cs="仿宋_GB2312"/>
          <w:i w:val="0"/>
          <w:caps w:val="0"/>
          <w:color w:val="404040"/>
          <w:spacing w:val="0"/>
          <w:sz w:val="32"/>
          <w:szCs w:val="32"/>
          <w:shd w:val="clear" w:fill="FFFFFF"/>
          <w:vertAlign w:val="baseline"/>
          <w:lang w:eastAsia="zh-CN"/>
        </w:rPr>
        <w:t>。</w:t>
      </w:r>
    </w:p>
    <w:p>
      <w:pPr>
        <w:adjustRightInd w:val="0"/>
        <w:snapToGrid w:val="0"/>
        <w:spacing w:line="560" w:lineRule="exact"/>
        <w:ind w:firstLine="6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bCs w:val="0"/>
          <w:color w:val="000000"/>
          <w:spacing w:val="0"/>
          <w:kern w:val="0"/>
          <w:sz w:val="32"/>
          <w:szCs w:val="32"/>
          <w:highlight w:val="none"/>
          <w:shd w:val="clear" w:color="090000" w:fill="auto"/>
          <w:lang w:eastAsia="zh-CN"/>
        </w:rPr>
        <w:t>下一步会多与政数局沟通学习，</w:t>
      </w:r>
      <w:r>
        <w:rPr>
          <w:rFonts w:hint="eastAsia" w:ascii="仿宋_GB2312" w:hAnsi="仿宋_GB2312" w:eastAsia="仿宋_GB2312" w:cs="仿宋_GB2312"/>
          <w:i w:val="0"/>
          <w:caps w:val="0"/>
          <w:color w:val="404040"/>
          <w:spacing w:val="0"/>
          <w:sz w:val="32"/>
          <w:szCs w:val="32"/>
          <w:shd w:val="clear" w:fill="FFFFFF"/>
          <w:vertAlign w:val="baseline"/>
          <w:lang w:eastAsia="zh-CN"/>
        </w:rPr>
        <w:t>积极参加各类培训，参透</w:t>
      </w:r>
      <w:r>
        <w:rPr>
          <w:rFonts w:hint="eastAsia" w:ascii="仿宋_GB2312" w:hAnsi="仿宋_GB2312" w:eastAsia="仿宋_GB2312" w:cs="仿宋_GB2312"/>
          <w:i w:val="0"/>
          <w:caps w:val="0"/>
          <w:color w:val="404040"/>
          <w:spacing w:val="0"/>
          <w:sz w:val="32"/>
          <w:szCs w:val="32"/>
          <w:shd w:val="clear" w:fill="FFFFFF"/>
          <w:vertAlign w:val="baseline"/>
        </w:rPr>
        <w:t>政府信息公开</w:t>
      </w:r>
      <w:r>
        <w:rPr>
          <w:rFonts w:hint="eastAsia" w:ascii="仿宋_GB2312" w:hAnsi="仿宋_GB2312" w:eastAsia="仿宋_GB2312" w:cs="仿宋_GB2312"/>
          <w:i w:val="0"/>
          <w:caps w:val="0"/>
          <w:color w:val="404040"/>
          <w:spacing w:val="0"/>
          <w:sz w:val="32"/>
          <w:szCs w:val="32"/>
          <w:shd w:val="clear" w:fill="FFFFFF"/>
          <w:vertAlign w:val="baseline"/>
          <w:lang w:eastAsia="zh-CN"/>
        </w:rPr>
        <w:t>相关</w:t>
      </w:r>
      <w:r>
        <w:rPr>
          <w:rFonts w:hint="eastAsia" w:ascii="仿宋_GB2312" w:hAnsi="仿宋_GB2312" w:eastAsia="仿宋_GB2312" w:cs="仿宋_GB2312"/>
          <w:i w:val="0"/>
          <w:caps w:val="0"/>
          <w:color w:val="404040"/>
          <w:spacing w:val="0"/>
          <w:sz w:val="32"/>
          <w:szCs w:val="32"/>
          <w:shd w:val="clear" w:fill="FFFFFF"/>
          <w:vertAlign w:val="baseline"/>
        </w:rPr>
        <w:t>政策法规，提升信息公开工作人员业务水平，提升信息发布质量，努力提高政府信息公开的能力。</w:t>
      </w:r>
    </w:p>
    <w:p>
      <w:pPr>
        <w:widowControl/>
        <w:wordWrap/>
        <w:adjustRightInd w:val="0"/>
        <w:snapToGrid w:val="0"/>
        <w:spacing w:beforeLines="0" w:afterLines="0" w:line="560" w:lineRule="exact"/>
        <w:ind w:firstLine="675"/>
        <w:jc w:val="left"/>
        <w:textAlignment w:val="auto"/>
        <w:rPr>
          <w:rFonts w:hint="default" w:ascii="Times New Roman" w:hAnsi="Times New Roman" w:cs="Times New Roman"/>
          <w:spacing w:val="8"/>
          <w:kern w:val="0"/>
          <w:sz w:val="32"/>
          <w:szCs w:val="32"/>
        </w:rPr>
      </w:pPr>
      <w:r>
        <w:rPr>
          <w:rFonts w:hint="default" w:ascii="Times New Roman" w:hAnsi="Times New Roman" w:eastAsia="黑体" w:cs="Times New Roman"/>
          <w:spacing w:val="8"/>
          <w:kern w:val="0"/>
          <w:sz w:val="32"/>
          <w:szCs w:val="32"/>
        </w:rPr>
        <w:t>六、其他需要报告的事项</w:t>
      </w:r>
    </w:p>
    <w:p>
      <w:pPr>
        <w:wordWrap/>
        <w:adjustRightInd w:val="0"/>
        <w:snapToGrid w:val="0"/>
        <w:spacing w:beforeLines="0" w:afterLines="0" w:line="560" w:lineRule="exact"/>
        <w:textAlignment w:val="auto"/>
        <w:rPr>
          <w:rFonts w:hint="eastAsia" w:ascii="仿宋_GB2312" w:hAnsi="仿宋_GB2312" w:eastAsia="仿宋_GB2312" w:cs="仿宋_GB2312"/>
          <w:sz w:val="32"/>
          <w:szCs w:val="32"/>
        </w:rPr>
      </w:pPr>
      <w:r>
        <w:rPr>
          <w:rFonts w:hint="default" w:ascii="Times New Roman" w:hAnsi="Times New Roman" w:cs="Times New Roman"/>
          <w:spacing w:val="8"/>
          <w:kern w:val="0"/>
          <w:sz w:val="32"/>
          <w:szCs w:val="32"/>
        </w:rPr>
        <w:t>　</w:t>
      </w:r>
      <w:r>
        <w:rPr>
          <w:rFonts w:hint="eastAsia" w:ascii="仿宋_GB2312" w:hAnsi="仿宋_GB2312" w:eastAsia="仿宋_GB2312" w:cs="仿宋_GB2312"/>
          <w:sz w:val="32"/>
          <w:szCs w:val="32"/>
        </w:rPr>
        <w:t>　本年度</w:t>
      </w:r>
      <w:r>
        <w:rPr>
          <w:rFonts w:hint="eastAsia" w:ascii="仿宋_GB2312" w:hAnsi="仿宋_GB2312" w:eastAsia="仿宋_GB2312" w:cs="仿宋_GB2312"/>
          <w:sz w:val="32"/>
          <w:szCs w:val="32"/>
          <w:lang w:eastAsia="zh-CN"/>
        </w:rPr>
        <w:t>我委</w:t>
      </w:r>
      <w:r>
        <w:rPr>
          <w:rFonts w:hint="eastAsia" w:ascii="仿宋_GB2312" w:hAnsi="仿宋_GB2312" w:eastAsia="仿宋_GB2312" w:cs="仿宋_GB2312"/>
          <w:sz w:val="32"/>
          <w:szCs w:val="32"/>
        </w:rPr>
        <w:t>没有收取信息处理费，发出收费通知的件数和总金额以及实际收取的总金额均为0。</w:t>
      </w:r>
    </w:p>
    <w:p>
      <w:pPr>
        <w:wordWrap/>
        <w:adjustRightInd w:val="0"/>
        <w:snapToGrid w:val="0"/>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北京市东城区人民政府门户网站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网址为http</w:t>
      </w:r>
      <w:r>
        <w:rPr>
          <w:rFonts w:hint="eastAsia" w:ascii="仿宋_GB2312" w:hAnsi="仿宋_GB2312" w:eastAsia="仿宋_GB2312" w:cs="仿宋_GB2312"/>
          <w:sz w:val="32"/>
          <w:szCs w:val="32"/>
          <w:lang w:val="en-US" w:eastAsia="zh-CN"/>
        </w:rPr>
        <w:t>s</w:t>
      </w:r>
      <w:r>
        <w:rPr>
          <w:rFonts w:hint="eastAsia" w:ascii="仿宋_GB2312" w:hAnsi="仿宋_GB2312" w:eastAsia="仿宋_GB2312" w:cs="仿宋_GB2312"/>
          <w:sz w:val="32"/>
          <w:szCs w:val="32"/>
        </w:rPr>
        <w:t>://www.bjdch.gov.cn，如需了解更多政府信息，请登录查询</w:t>
      </w:r>
      <w:r>
        <w:rPr>
          <w:rFonts w:hint="eastAsia" w:ascii="仿宋_GB2312" w:hAnsi="仿宋_GB2312" w:eastAsia="仿宋_GB2312" w:cs="仿宋_GB2312"/>
          <w:sz w:val="32"/>
          <w:szCs w:val="32"/>
          <w:lang w:eastAsia="zh-CN"/>
        </w:rPr>
        <w:t>。</w:t>
      </w:r>
    </w:p>
    <w:p>
      <w:pPr>
        <w:spacing w:beforeLines="0" w:afterLines="0" w:line="560" w:lineRule="exact"/>
      </w:pPr>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1"/>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kX7ZrswBAACYAwAADgAAAAAAAAABACAAAAAf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172A27"/>
    <w:rsid w:val="045F7209"/>
    <w:rsid w:val="05CD1C5B"/>
    <w:rsid w:val="06700135"/>
    <w:rsid w:val="0D244DCE"/>
    <w:rsid w:val="11B1018E"/>
    <w:rsid w:val="12443268"/>
    <w:rsid w:val="13B83138"/>
    <w:rsid w:val="16243D65"/>
    <w:rsid w:val="16AB0DB1"/>
    <w:rsid w:val="18E716F1"/>
    <w:rsid w:val="1C955BE1"/>
    <w:rsid w:val="21F0125A"/>
    <w:rsid w:val="253E46D0"/>
    <w:rsid w:val="255D2961"/>
    <w:rsid w:val="25DA454D"/>
    <w:rsid w:val="25EB67E3"/>
    <w:rsid w:val="25F47522"/>
    <w:rsid w:val="26485CB9"/>
    <w:rsid w:val="283535B0"/>
    <w:rsid w:val="2A7B5EF8"/>
    <w:rsid w:val="2B1E51B3"/>
    <w:rsid w:val="2CA32E10"/>
    <w:rsid w:val="2D936A99"/>
    <w:rsid w:val="2DC13FEF"/>
    <w:rsid w:val="2F31184E"/>
    <w:rsid w:val="30D50258"/>
    <w:rsid w:val="30DF13C3"/>
    <w:rsid w:val="31D11581"/>
    <w:rsid w:val="31FC2BD7"/>
    <w:rsid w:val="356B796B"/>
    <w:rsid w:val="357D2832"/>
    <w:rsid w:val="396956AA"/>
    <w:rsid w:val="3EE703FF"/>
    <w:rsid w:val="450260C4"/>
    <w:rsid w:val="46094EA2"/>
    <w:rsid w:val="47F50F0B"/>
    <w:rsid w:val="492C1304"/>
    <w:rsid w:val="4D536733"/>
    <w:rsid w:val="4DED0947"/>
    <w:rsid w:val="507F6A47"/>
    <w:rsid w:val="53F11D99"/>
    <w:rsid w:val="54DB7492"/>
    <w:rsid w:val="5A9370D3"/>
    <w:rsid w:val="5B0E6FAA"/>
    <w:rsid w:val="5D0F2569"/>
    <w:rsid w:val="668272A5"/>
    <w:rsid w:val="66F63878"/>
    <w:rsid w:val="69480577"/>
    <w:rsid w:val="6FB33F0B"/>
    <w:rsid w:val="731E0AB7"/>
    <w:rsid w:val="7629468F"/>
    <w:rsid w:val="7B443DDA"/>
    <w:rsid w:val="7C2D4065"/>
    <w:rsid w:val="7ED24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2151</Words>
  <Characters>2232</Characters>
  <Lines>0</Lines>
  <Paragraphs>0</Paragraphs>
  <TotalTime>1</TotalTime>
  <ScaleCrop>false</ScaleCrop>
  <LinksUpToDate>false</LinksUpToDate>
  <CharactersWithSpaces>2273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2023-01-04T01:21:00Z</dcterms:created>
  <dc:creator>姜鹏</dc:creator>
  <cp:lastModifiedBy>明天会更好</cp:lastModifiedBy>
  <dcterms:modified xsi:type="dcterms:W3CDTF">2025-01-23T09:02:03Z</dcterms:modified>
  <dc:title>北京市东城区发展和改革委员会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E47A4C7A5353415BB1AF78231D0F1D41_13</vt:lpwstr>
  </property>
  <property fmtid="{D5CDD505-2E9C-101B-9397-08002B2CF9AE}" pid="4" name="KSOTemplateDocerSaveRecord">
    <vt:lpwstr>eyJoZGlkIjoiYTQwNDY3ZTAxMGZjMzU0NmYwOTUyZWY1MjcyMTJkMzYiLCJ1c2VySWQiOiIxMTc2MDE0ODk4In0=</vt:lpwstr>
  </property>
</Properties>
</file>