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81A2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北京市东城区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人民政府办公室</w:t>
      </w:r>
    </w:p>
    <w:p w14:paraId="2AD8E27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年政府信息公开工作年度报告</w:t>
      </w:r>
    </w:p>
    <w:p w14:paraId="5A61935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105" w:rightChars="50" w:firstLine="652" w:firstLineChars="200"/>
        <w:textAlignment w:val="auto"/>
        <w:outlineLvl w:val="9"/>
        <w:rPr>
          <w:rFonts w:hint="eastAsia" w:ascii="仿宋_GB2312" w:hAnsi="Arial" w:eastAsia="仿宋_GB2312" w:cs="仿宋_GB2312"/>
          <w:spacing w:val="8"/>
          <w:kern w:val="0"/>
          <w:sz w:val="31"/>
          <w:szCs w:val="31"/>
          <w:lang w:val="en-US" w:eastAsia="zh-CN" w:bidi="ar-SA"/>
        </w:rPr>
      </w:pPr>
      <w:r>
        <w:rPr>
          <w:rFonts w:hint="eastAsia" w:ascii="仿宋_GB2312" w:hAnsi="Arial" w:eastAsia="仿宋_GB2312" w:cs="仿宋_GB2312"/>
          <w:spacing w:val="8"/>
          <w:kern w:val="0"/>
          <w:sz w:val="31"/>
          <w:szCs w:val="31"/>
          <w:lang w:val="en-US" w:eastAsia="zh-CN" w:bidi="ar-SA"/>
        </w:rPr>
        <w:t>依据《中华人民共和国政府信息公开条例》(以下简称《政府信息公开条例》)第五十条规定，编制本报告。</w:t>
      </w:r>
    </w:p>
    <w:p w14:paraId="44886439">
      <w:pPr>
        <w:pStyle w:val="5"/>
        <w:keepNext w:val="0"/>
        <w:keepLines w:val="0"/>
        <w:widowControl/>
        <w:suppressLineNumbers w:val="0"/>
        <w:spacing w:line="560" w:lineRule="atLeast"/>
        <w:ind w:left="-199" w:leftChars="-95" w:firstLine="840" w:firstLineChars="0"/>
      </w:pPr>
      <w:r>
        <w:rPr>
          <w:rFonts w:ascii="黑体" w:hAnsi="宋体" w:eastAsia="黑体" w:cs="黑体"/>
          <w:b w:val="0"/>
          <w:sz w:val="31"/>
          <w:szCs w:val="31"/>
        </w:rPr>
        <w:t>一、</w:t>
      </w:r>
      <w:r>
        <w:rPr>
          <w:rFonts w:hint="eastAsia" w:ascii="黑体" w:hAnsi="宋体" w:eastAsia="黑体" w:cs="黑体"/>
          <w:b w:val="0"/>
          <w:sz w:val="31"/>
          <w:szCs w:val="31"/>
        </w:rPr>
        <w:t>总体情况</w:t>
      </w:r>
    </w:p>
    <w:p w14:paraId="3F0274BC">
      <w:pPr>
        <w:pStyle w:val="5"/>
        <w:keepNext w:val="0"/>
        <w:keepLines w:val="0"/>
        <w:widowControl/>
        <w:suppressLineNumbers w:val="0"/>
        <w:spacing w:line="560" w:lineRule="atLeast"/>
        <w:ind w:left="0" w:firstLine="675"/>
        <w:jc w:val="left"/>
        <w:rPr>
          <w:rFonts w:hint="eastAsia" w:ascii="仿宋_GB2312" w:hAnsi="Arial" w:eastAsia="仿宋_GB2312" w:cs="仿宋_GB2312"/>
          <w:spacing w:val="8"/>
          <w:sz w:val="31"/>
          <w:szCs w:val="31"/>
        </w:rPr>
      </w:pPr>
      <w:r>
        <w:rPr>
          <w:rFonts w:hint="eastAsia" w:ascii="仿宋_GB2312" w:hAnsi="Arial" w:eastAsia="仿宋_GB2312" w:cs="仿宋_GB2312"/>
          <w:b/>
          <w:spacing w:val="8"/>
          <w:sz w:val="31"/>
          <w:szCs w:val="31"/>
          <w:lang w:eastAsia="zh-CN"/>
        </w:rPr>
        <w:t>（一）切实加强组织领导工作。</w:t>
      </w:r>
      <w:r>
        <w:rPr>
          <w:rFonts w:hint="eastAsia" w:ascii="仿宋_GB2312" w:hAnsi="Arial" w:eastAsia="仿宋_GB2312" w:cs="仿宋_GB2312"/>
          <w:spacing w:val="8"/>
          <w:sz w:val="31"/>
          <w:szCs w:val="31"/>
          <w:lang w:val="en-US" w:eastAsia="zh-CN"/>
        </w:rPr>
        <w:t>区政府办政务信息公开工作由办公室主要领导主抓、主管副主任分工负责、主责科室由综合科具体组织实施、各相关业务科室配合、全体干部广泛参与的领导机制和工作格局。确保将相关政务信息在政务平台及时公开。</w:t>
      </w:r>
    </w:p>
    <w:p w14:paraId="6F8F9619">
      <w:pPr>
        <w:pStyle w:val="5"/>
        <w:keepNext w:val="0"/>
        <w:keepLines w:val="0"/>
        <w:widowControl/>
        <w:suppressLineNumbers w:val="0"/>
        <w:spacing w:line="560" w:lineRule="atLeast"/>
        <w:ind w:left="0" w:firstLine="675"/>
        <w:jc w:val="left"/>
        <w:rPr>
          <w:rFonts w:hint="eastAsia" w:ascii="仿宋_GB2312" w:hAnsi="Arial" w:eastAsia="仿宋_GB2312" w:cs="仿宋_GB2312"/>
          <w:color w:val="404040"/>
          <w:spacing w:val="8"/>
          <w:sz w:val="31"/>
          <w:szCs w:val="31"/>
          <w:shd w:val="clear" w:fill="FFFFFF"/>
        </w:rPr>
      </w:pPr>
      <w:r>
        <w:rPr>
          <w:rFonts w:hint="eastAsia" w:ascii="仿宋_GB2312" w:hAnsi="Arial" w:eastAsia="仿宋_GB2312" w:cs="仿宋_GB2312"/>
          <w:b/>
          <w:spacing w:val="8"/>
          <w:sz w:val="31"/>
          <w:szCs w:val="31"/>
          <w:lang w:eastAsia="zh-CN"/>
        </w:rPr>
        <w:t>（二）依法依规做好主动公开工作。</w:t>
      </w:r>
      <w:r>
        <w:rPr>
          <w:rFonts w:hint="eastAsia" w:ascii="仿宋_GB2312" w:hAnsi="Arial" w:eastAsia="仿宋_GB2312" w:cs="仿宋_GB2312"/>
          <w:spacing w:val="8"/>
          <w:sz w:val="31"/>
          <w:szCs w:val="31"/>
        </w:rPr>
        <w:t>区政府办主动公开载体是</w:t>
      </w:r>
      <w:r>
        <w:rPr>
          <w:rFonts w:ascii="仿宋_GB2312" w:hAnsi="Arial" w:eastAsia="仿宋_GB2312" w:cs="仿宋_GB2312"/>
          <w:spacing w:val="8"/>
          <w:sz w:val="31"/>
          <w:szCs w:val="31"/>
        </w:rPr>
        <w:t>东城区政府</w:t>
      </w:r>
      <w:r>
        <w:rPr>
          <w:rFonts w:hint="eastAsia" w:ascii="仿宋_GB2312" w:hAnsi="Arial" w:eastAsia="仿宋_GB2312" w:cs="仿宋_GB2312"/>
          <w:spacing w:val="8"/>
          <w:sz w:val="31"/>
          <w:szCs w:val="31"/>
        </w:rPr>
        <w:t>网站，202</w:t>
      </w:r>
      <w:r>
        <w:rPr>
          <w:rFonts w:hint="eastAsia" w:ascii="仿宋_GB2312" w:hAnsi="Arial" w:eastAsia="仿宋_GB2312" w:cs="仿宋_GB2312"/>
          <w:spacing w:val="8"/>
          <w:sz w:val="31"/>
          <w:szCs w:val="31"/>
          <w:lang w:val="en-US" w:eastAsia="zh-CN"/>
        </w:rPr>
        <w:t>4</w:t>
      </w:r>
      <w:r>
        <w:rPr>
          <w:rFonts w:hint="eastAsia" w:ascii="仿宋_GB2312" w:hAnsi="Arial" w:eastAsia="仿宋_GB2312" w:cs="仿宋_GB2312"/>
          <w:spacing w:val="8"/>
          <w:sz w:val="31"/>
          <w:szCs w:val="31"/>
        </w:rPr>
        <w:t>年全年主动公开政府信息共</w:t>
      </w:r>
      <w:r>
        <w:rPr>
          <w:rFonts w:hint="eastAsia" w:ascii="仿宋_GB2312" w:hAnsi="Arial" w:eastAsia="仿宋_GB2312" w:cs="仿宋_GB2312"/>
          <w:spacing w:val="8"/>
          <w:sz w:val="31"/>
          <w:szCs w:val="31"/>
          <w:lang w:val="en-US" w:eastAsia="zh-CN"/>
        </w:rPr>
        <w:t>92</w:t>
      </w:r>
      <w:r>
        <w:rPr>
          <w:rFonts w:hint="eastAsia" w:ascii="仿宋_GB2312" w:hAnsi="Arial" w:eastAsia="仿宋_GB2312" w:cs="仿宋_GB2312"/>
          <w:spacing w:val="8"/>
          <w:sz w:val="31"/>
          <w:szCs w:val="31"/>
        </w:rPr>
        <w:t>条。其中，领导介绍类信息</w:t>
      </w:r>
      <w:r>
        <w:rPr>
          <w:rFonts w:hint="eastAsia" w:ascii="仿宋_GB2312" w:hAnsi="Arial" w:eastAsia="仿宋_GB2312" w:cs="仿宋_GB2312"/>
          <w:spacing w:val="8"/>
          <w:sz w:val="31"/>
          <w:szCs w:val="31"/>
          <w:lang w:val="en-US" w:eastAsia="zh-CN"/>
        </w:rPr>
        <w:t>9</w:t>
      </w:r>
      <w:r>
        <w:rPr>
          <w:rFonts w:hint="eastAsia" w:ascii="仿宋_GB2312" w:hAnsi="Arial" w:eastAsia="仿宋_GB2312" w:cs="仿宋_GB2312"/>
          <w:spacing w:val="8"/>
          <w:sz w:val="31"/>
          <w:szCs w:val="31"/>
        </w:rPr>
        <w:t>条；规范性文件1</w:t>
      </w:r>
      <w:r>
        <w:rPr>
          <w:rFonts w:hint="eastAsia" w:ascii="仿宋_GB2312" w:hAnsi="Arial" w:eastAsia="仿宋_GB2312" w:cs="仿宋_GB2312"/>
          <w:spacing w:val="8"/>
          <w:sz w:val="31"/>
          <w:szCs w:val="31"/>
          <w:lang w:val="en-US" w:eastAsia="zh-CN"/>
        </w:rPr>
        <w:t>1</w:t>
      </w:r>
      <w:r>
        <w:rPr>
          <w:rFonts w:hint="eastAsia" w:ascii="仿宋_GB2312" w:hAnsi="Arial" w:eastAsia="仿宋_GB2312" w:cs="仿宋_GB2312"/>
          <w:spacing w:val="8"/>
          <w:sz w:val="31"/>
          <w:szCs w:val="31"/>
        </w:rPr>
        <w:t>条；财政预决算信息2条；工作动态信息</w:t>
      </w:r>
      <w:r>
        <w:rPr>
          <w:rFonts w:hint="eastAsia" w:ascii="仿宋_GB2312" w:hAnsi="Arial" w:eastAsia="仿宋_GB2312" w:cs="仿宋_GB2312"/>
          <w:spacing w:val="8"/>
          <w:sz w:val="31"/>
          <w:szCs w:val="31"/>
          <w:lang w:val="en-US" w:eastAsia="zh-CN"/>
        </w:rPr>
        <w:t>50</w:t>
      </w:r>
      <w:r>
        <w:rPr>
          <w:rFonts w:hint="eastAsia" w:ascii="仿宋_GB2312" w:hAnsi="Arial" w:eastAsia="仿宋_GB2312" w:cs="仿宋_GB2312"/>
          <w:spacing w:val="8"/>
          <w:sz w:val="31"/>
          <w:szCs w:val="31"/>
        </w:rPr>
        <w:t>条；政策解读类信息</w:t>
      </w:r>
      <w:r>
        <w:rPr>
          <w:rFonts w:hint="eastAsia" w:ascii="仿宋_GB2312" w:hAnsi="Arial" w:eastAsia="仿宋_GB2312" w:cs="仿宋_GB2312"/>
          <w:spacing w:val="8"/>
          <w:sz w:val="31"/>
          <w:szCs w:val="31"/>
          <w:lang w:val="en-US" w:eastAsia="zh-CN"/>
        </w:rPr>
        <w:t>14</w:t>
      </w:r>
      <w:r>
        <w:rPr>
          <w:rFonts w:hint="eastAsia" w:ascii="仿宋_GB2312" w:hAnsi="Arial" w:eastAsia="仿宋_GB2312" w:cs="仿宋_GB2312"/>
          <w:spacing w:val="8"/>
          <w:sz w:val="31"/>
          <w:szCs w:val="31"/>
        </w:rPr>
        <w:t>条；年度工作计划实施进展情况6条</w:t>
      </w:r>
      <w:r>
        <w:rPr>
          <w:rFonts w:hint="eastAsia" w:ascii="仿宋_GB2312" w:hAnsi="Arial" w:eastAsia="仿宋_GB2312" w:cs="仿宋_GB2312"/>
          <w:spacing w:val="8"/>
          <w:sz w:val="31"/>
          <w:szCs w:val="31"/>
          <w:lang w:eastAsia="zh-CN"/>
        </w:rPr>
        <w:t>。</w:t>
      </w:r>
    </w:p>
    <w:p w14:paraId="2CF1839D">
      <w:pPr>
        <w:keepNext w:val="0"/>
        <w:keepLines w:val="0"/>
        <w:widowControl/>
        <w:suppressLineNumbers w:val="0"/>
        <w:ind w:firstLine="622" w:firstLineChars="200"/>
        <w:jc w:val="left"/>
        <w:rPr>
          <w:rFonts w:hint="eastAsia" w:ascii="仿宋_GB2312" w:hAnsi="Arial" w:eastAsia="仿宋_GB2312" w:cs="仿宋_GB2312"/>
          <w:spacing w:val="8"/>
          <w:sz w:val="31"/>
          <w:szCs w:val="31"/>
          <w:lang w:val="en-US" w:eastAsia="zh-CN"/>
        </w:rPr>
      </w:pPr>
      <w:r>
        <w:rPr>
          <w:rFonts w:hint="eastAsia" w:ascii="仿宋_GB2312" w:hAnsi="Arial" w:eastAsia="仿宋_GB2312" w:cs="仿宋_GB2312"/>
          <w:b/>
          <w:sz w:val="31"/>
          <w:szCs w:val="31"/>
          <w:lang w:eastAsia="zh-CN"/>
        </w:rPr>
        <w:t>（三）深化</w:t>
      </w:r>
      <w:r>
        <w:rPr>
          <w:rFonts w:hint="eastAsia" w:ascii="仿宋_GB2312" w:hAnsi="Arial" w:eastAsia="仿宋_GB2312" w:cs="仿宋_GB2312"/>
          <w:b/>
          <w:sz w:val="31"/>
          <w:szCs w:val="31"/>
        </w:rPr>
        <w:t>政府信息管理</w:t>
      </w:r>
      <w:r>
        <w:rPr>
          <w:rFonts w:hint="eastAsia" w:ascii="仿宋_GB2312" w:hAnsi="Arial" w:eastAsia="仿宋_GB2312" w:cs="仿宋_GB2312"/>
          <w:b/>
          <w:sz w:val="31"/>
          <w:szCs w:val="31"/>
          <w:lang w:eastAsia="zh-CN"/>
        </w:rPr>
        <w:t>工作</w:t>
      </w:r>
      <w:r>
        <w:rPr>
          <w:rFonts w:hint="eastAsia" w:ascii="仿宋_GB2312" w:hAnsi="Arial" w:eastAsia="仿宋_GB2312" w:cs="仿宋_GB2312"/>
          <w:b/>
          <w:sz w:val="31"/>
          <w:szCs w:val="31"/>
        </w:rPr>
        <w:t>。</w:t>
      </w:r>
      <w:r>
        <w:rPr>
          <w:rFonts w:hint="eastAsia" w:ascii="仿宋_GB2312" w:hAnsi="Arial" w:eastAsia="仿宋_GB2312" w:cs="仿宋_GB2312"/>
          <w:spacing w:val="8"/>
          <w:sz w:val="31"/>
          <w:szCs w:val="31"/>
        </w:rPr>
        <w:t>严格落实政府信息公开保密审查机制，所有拟公开的政府信息实行分级分类审核发布，确保没有涉密内容和不宜公开的政府</w:t>
      </w:r>
      <w:r>
        <w:rPr>
          <w:rFonts w:hint="eastAsia" w:ascii="仿宋_GB2312" w:hAnsi="Arial" w:eastAsia="仿宋_GB2312" w:cs="仿宋_GB2312"/>
          <w:spacing w:val="8"/>
          <w:sz w:val="31"/>
          <w:szCs w:val="31"/>
          <w:lang w:eastAsia="zh-CN"/>
        </w:rPr>
        <w:t>敏感</w:t>
      </w:r>
      <w:r>
        <w:rPr>
          <w:rFonts w:hint="eastAsia" w:ascii="仿宋_GB2312" w:hAnsi="Arial" w:eastAsia="仿宋_GB2312" w:cs="仿宋_GB2312"/>
          <w:spacing w:val="8"/>
          <w:sz w:val="31"/>
          <w:szCs w:val="31"/>
        </w:rPr>
        <w:t>信息。</w:t>
      </w:r>
      <w:r>
        <w:rPr>
          <w:rFonts w:hint="eastAsia" w:ascii="仿宋_GB2312" w:hAnsi="Arial" w:eastAsia="仿宋_GB2312" w:cs="仿宋_GB2312"/>
          <w:spacing w:val="8"/>
          <w:sz w:val="31"/>
          <w:szCs w:val="31"/>
          <w:lang w:val="en-US" w:eastAsia="zh-CN"/>
        </w:rPr>
        <w:t>严格按照规范流程发布信息，完善政府信息资源管制制度化、规范化、标准化。</w:t>
      </w:r>
    </w:p>
    <w:p w14:paraId="1A357EB3">
      <w:pPr>
        <w:pStyle w:val="5"/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300" w:afterAutospacing="0" w:line="480" w:lineRule="auto"/>
        <w:ind w:left="0" w:right="0" w:firstLine="672"/>
        <w:jc w:val="both"/>
        <w:rPr>
          <w:rFonts w:ascii="微软雅黑" w:hAnsi="微软雅黑" w:eastAsia="微软雅黑" w:cs="微软雅黑"/>
          <w:color w:val="404040"/>
          <w:sz w:val="24"/>
          <w:szCs w:val="24"/>
        </w:rPr>
      </w:pPr>
    </w:p>
    <w:p w14:paraId="7387B20D">
      <w:pPr>
        <w:pStyle w:val="5"/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300" w:afterAutospacing="0" w:line="480" w:lineRule="auto"/>
        <w:ind w:left="0" w:right="0" w:firstLine="672"/>
        <w:jc w:val="both"/>
        <w:rPr>
          <w:rFonts w:hint="eastAsia" w:ascii="仿宋_GB2312" w:hAnsi="Arial" w:eastAsia="仿宋_GB2312" w:cs="仿宋_GB2312"/>
          <w:spacing w:val="8"/>
          <w:sz w:val="31"/>
          <w:szCs w:val="31"/>
        </w:rPr>
      </w:pPr>
      <w:r>
        <w:rPr>
          <w:rFonts w:hint="eastAsia" w:ascii="仿宋_GB2312" w:hAnsi="Arial" w:eastAsia="仿宋_GB2312" w:cs="仿宋_GB2312"/>
          <w:b/>
          <w:sz w:val="31"/>
          <w:szCs w:val="31"/>
          <w:lang w:eastAsia="zh-CN"/>
        </w:rPr>
        <w:t>（四）</w:t>
      </w:r>
      <w:r>
        <w:rPr>
          <w:rFonts w:hint="eastAsia" w:ascii="仿宋_GB2312" w:hAnsi="Arial" w:eastAsia="仿宋_GB2312" w:cs="仿宋_GB2312"/>
          <w:b/>
          <w:sz w:val="31"/>
          <w:szCs w:val="31"/>
        </w:rPr>
        <w:t>政府信息公开平台建设</w:t>
      </w:r>
      <w:r>
        <w:rPr>
          <w:rFonts w:hint="eastAsia" w:ascii="仿宋_GB2312" w:hAnsi="Arial" w:eastAsia="仿宋_GB2312" w:cs="仿宋_GB2312"/>
          <w:b/>
          <w:sz w:val="31"/>
          <w:szCs w:val="31"/>
          <w:lang w:eastAsia="zh-CN"/>
        </w:rPr>
        <w:t>工作</w:t>
      </w:r>
      <w:r>
        <w:rPr>
          <w:rFonts w:hint="eastAsia" w:ascii="仿宋_GB2312" w:hAnsi="Arial" w:eastAsia="仿宋_GB2312" w:cs="仿宋_GB2312"/>
          <w:b/>
          <w:sz w:val="31"/>
          <w:szCs w:val="31"/>
        </w:rPr>
        <w:t>。</w:t>
      </w:r>
      <w:r>
        <w:rPr>
          <w:rFonts w:hint="eastAsia" w:ascii="仿宋_GB2312" w:hAnsi="Arial" w:eastAsia="仿宋_GB2312" w:cs="仿宋_GB2312"/>
          <w:spacing w:val="8"/>
          <w:sz w:val="31"/>
          <w:szCs w:val="31"/>
        </w:rPr>
        <w:t>按照相关工作要求，</w:t>
      </w:r>
      <w:r>
        <w:rPr>
          <w:rFonts w:hint="eastAsia" w:ascii="仿宋_GB2312" w:hAnsi="Arial" w:eastAsia="仿宋_GB2312" w:cs="仿宋_GB2312"/>
          <w:spacing w:val="8"/>
          <w:sz w:val="31"/>
          <w:szCs w:val="31"/>
          <w:lang w:eastAsia="zh-CN"/>
        </w:rPr>
        <w:t>及时</w:t>
      </w:r>
      <w:r>
        <w:rPr>
          <w:rFonts w:hint="eastAsia" w:ascii="仿宋_GB2312" w:hAnsi="Arial" w:eastAsia="仿宋_GB2312" w:cs="仿宋_GB2312"/>
          <w:spacing w:val="8"/>
          <w:sz w:val="31"/>
          <w:szCs w:val="31"/>
        </w:rPr>
        <w:t>调整信息公开全清单</w:t>
      </w:r>
      <w:r>
        <w:rPr>
          <w:rFonts w:hint="eastAsia" w:ascii="仿宋_GB2312" w:hAnsi="Arial" w:eastAsia="仿宋_GB2312" w:cs="仿宋_GB2312"/>
          <w:spacing w:val="8"/>
          <w:sz w:val="31"/>
          <w:szCs w:val="31"/>
          <w:lang w:eastAsia="zh-CN"/>
        </w:rPr>
        <w:t>内容</w:t>
      </w:r>
      <w:r>
        <w:rPr>
          <w:rFonts w:hint="eastAsia" w:ascii="仿宋_GB2312" w:hAnsi="Arial" w:eastAsia="仿宋_GB2312" w:cs="仿宋_GB2312"/>
          <w:spacing w:val="8"/>
          <w:sz w:val="31"/>
          <w:szCs w:val="31"/>
        </w:rPr>
        <w:t>，</w:t>
      </w:r>
      <w:r>
        <w:rPr>
          <w:rFonts w:hint="eastAsia" w:ascii="仿宋_GB2312" w:hAnsi="Arial" w:eastAsia="仿宋_GB2312" w:cs="仿宋_GB2312"/>
          <w:spacing w:val="8"/>
          <w:sz w:val="31"/>
          <w:szCs w:val="31"/>
          <w:lang w:val="en-US" w:eastAsia="zh-CN"/>
        </w:rPr>
        <w:t>动态维护、更新区政府信息公开大厅内容及栏目，适时调整主动公开全清单及法定主动公</w:t>
      </w:r>
      <w:bookmarkStart w:id="0" w:name="_GoBack"/>
      <w:bookmarkEnd w:id="0"/>
      <w:r>
        <w:rPr>
          <w:rFonts w:hint="eastAsia" w:ascii="仿宋_GB2312" w:hAnsi="Arial" w:eastAsia="仿宋_GB2312" w:cs="仿宋_GB2312"/>
          <w:spacing w:val="8"/>
          <w:sz w:val="31"/>
          <w:szCs w:val="31"/>
          <w:lang w:val="en-US" w:eastAsia="zh-CN"/>
        </w:rPr>
        <w:t>开内容，确保信息公开有效、准确。</w:t>
      </w:r>
    </w:p>
    <w:p w14:paraId="4CF286CF">
      <w:pPr>
        <w:spacing w:line="578" w:lineRule="exact"/>
        <w:ind w:firstLine="654" w:firstLineChars="200"/>
        <w:rPr>
          <w:rFonts w:hint="eastAsia" w:ascii="仿宋_GB2312" w:hAnsi="Arial" w:eastAsia="仿宋_GB2312" w:cs="仿宋_GB2312"/>
          <w:spacing w:val="8"/>
          <w:sz w:val="31"/>
          <w:szCs w:val="31"/>
          <w:lang w:eastAsia="zh-CN"/>
        </w:rPr>
      </w:pPr>
      <w:r>
        <w:rPr>
          <w:rFonts w:hint="eastAsia" w:ascii="仿宋_GB2312" w:hAnsi="Arial" w:eastAsia="仿宋_GB2312" w:cs="仿宋_GB2312"/>
          <w:b/>
          <w:spacing w:val="8"/>
          <w:sz w:val="31"/>
          <w:szCs w:val="31"/>
          <w:lang w:eastAsia="zh-CN"/>
        </w:rPr>
        <w:t>（五）强化</w:t>
      </w:r>
      <w:r>
        <w:rPr>
          <w:rFonts w:hint="eastAsia" w:ascii="仿宋_GB2312" w:hAnsi="Arial" w:eastAsia="仿宋_GB2312" w:cs="仿宋_GB2312"/>
          <w:b/>
          <w:spacing w:val="8"/>
          <w:sz w:val="31"/>
          <w:szCs w:val="31"/>
        </w:rPr>
        <w:t>教育培训和监督保障</w:t>
      </w:r>
      <w:r>
        <w:rPr>
          <w:rFonts w:hint="eastAsia" w:ascii="仿宋_GB2312" w:hAnsi="Arial" w:eastAsia="仿宋_GB2312" w:cs="仿宋_GB2312"/>
          <w:b/>
          <w:spacing w:val="8"/>
          <w:sz w:val="31"/>
          <w:szCs w:val="31"/>
          <w:lang w:eastAsia="zh-CN"/>
        </w:rPr>
        <w:t>工作</w:t>
      </w:r>
      <w:r>
        <w:rPr>
          <w:rFonts w:hint="eastAsia" w:ascii="仿宋_GB2312" w:hAnsi="Arial" w:eastAsia="仿宋_GB2312" w:cs="仿宋_GB2312"/>
          <w:spacing w:val="8"/>
          <w:sz w:val="31"/>
          <w:szCs w:val="31"/>
        </w:rPr>
        <w:t>。202</w:t>
      </w:r>
      <w:r>
        <w:rPr>
          <w:rFonts w:hint="eastAsia" w:ascii="仿宋_GB2312" w:hAnsi="Arial" w:eastAsia="仿宋_GB2312" w:cs="仿宋_GB2312"/>
          <w:spacing w:val="8"/>
          <w:sz w:val="31"/>
          <w:szCs w:val="31"/>
          <w:lang w:val="en-US" w:eastAsia="zh-CN"/>
        </w:rPr>
        <w:t>4</w:t>
      </w:r>
      <w:r>
        <w:rPr>
          <w:rFonts w:hint="eastAsia" w:ascii="仿宋_GB2312" w:hAnsi="Arial" w:eastAsia="仿宋_GB2312" w:cs="仿宋_GB2312"/>
          <w:spacing w:val="8"/>
          <w:sz w:val="31"/>
          <w:szCs w:val="31"/>
        </w:rPr>
        <w:t>年度，</w:t>
      </w:r>
      <w:r>
        <w:rPr>
          <w:rFonts w:hint="eastAsia" w:ascii="仿宋_GB2312" w:hAnsi="Arial" w:eastAsia="仿宋_GB2312" w:cs="仿宋_GB2312"/>
          <w:spacing w:val="8"/>
          <w:sz w:val="31"/>
          <w:szCs w:val="31"/>
          <w:lang w:eastAsia="zh-CN"/>
        </w:rPr>
        <w:t>区政府办</w:t>
      </w:r>
      <w:r>
        <w:rPr>
          <w:rFonts w:hint="eastAsia" w:ascii="仿宋_GB2312" w:hAnsi="Arial" w:eastAsia="仿宋_GB2312" w:cs="仿宋_GB2312"/>
          <w:spacing w:val="8"/>
          <w:sz w:val="31"/>
          <w:szCs w:val="31"/>
        </w:rPr>
        <w:t>持续加强政府信息公开工作的队伍管理，积极参加全区政务公开和政府信息公开业务培训</w:t>
      </w:r>
      <w:r>
        <w:rPr>
          <w:rFonts w:hint="eastAsia" w:ascii="仿宋_GB2312" w:hAnsi="Arial" w:eastAsia="仿宋_GB2312" w:cs="仿宋_GB2312"/>
          <w:spacing w:val="8"/>
          <w:sz w:val="31"/>
          <w:szCs w:val="31"/>
          <w:lang w:eastAsia="zh-CN"/>
        </w:rPr>
        <w:t>。区政府办开展依法行政政府信息公开专题讲座，通过日常工作中的典型案例，深入浅出地诠释了依法行政政府信息公开工作要点，不断推进法治建设，全面贯彻落实依法治国、依法行政。</w:t>
      </w:r>
    </w:p>
    <w:p w14:paraId="07C73339">
      <w:pPr>
        <w:pStyle w:val="5"/>
        <w:keepNext w:val="0"/>
        <w:keepLines w:val="0"/>
        <w:widowControl/>
        <w:suppressLineNumbers w:val="0"/>
        <w:wordWrap w:val="0"/>
        <w:spacing w:before="0" w:beforeAutospacing="0" w:after="300" w:afterAutospacing="0" w:line="480" w:lineRule="auto"/>
        <w:ind w:left="0" w:right="0" w:firstLine="672"/>
        <w:jc w:val="both"/>
        <w:rPr>
          <w:rFonts w:hint="eastAsia" w:ascii="仿宋_GB2312" w:hAnsi="Arial" w:eastAsia="仿宋_GB2312" w:cs="仿宋_GB2312"/>
          <w:spacing w:val="8"/>
          <w:sz w:val="31"/>
          <w:szCs w:val="31"/>
        </w:rPr>
      </w:pPr>
    </w:p>
    <w:p w14:paraId="4CC4DC72">
      <w:pPr>
        <w:pStyle w:val="5"/>
        <w:keepNext w:val="0"/>
        <w:keepLines w:val="0"/>
        <w:widowControl/>
        <w:suppressLineNumbers w:val="0"/>
        <w:spacing w:line="560" w:lineRule="atLeast"/>
        <w:ind w:left="0" w:firstLine="675"/>
        <w:jc w:val="left"/>
      </w:pPr>
    </w:p>
    <w:p w14:paraId="3F381430">
      <w:pPr>
        <w:pStyle w:val="5"/>
        <w:keepNext w:val="0"/>
        <w:keepLines w:val="0"/>
        <w:widowControl/>
        <w:suppressLineNumbers w:val="0"/>
        <w:spacing w:line="560" w:lineRule="atLeast"/>
        <w:ind w:left="0" w:firstLine="640"/>
        <w:rPr>
          <w:rFonts w:hint="eastAsia" w:ascii="黑体" w:hAnsi="宋体" w:eastAsia="黑体" w:cs="黑体"/>
          <w:b w:val="0"/>
          <w:sz w:val="31"/>
          <w:szCs w:val="31"/>
        </w:rPr>
      </w:pPr>
    </w:p>
    <w:p w14:paraId="191389BC">
      <w:pPr>
        <w:pStyle w:val="5"/>
        <w:keepNext w:val="0"/>
        <w:keepLines w:val="0"/>
        <w:widowControl/>
        <w:suppressLineNumbers w:val="0"/>
        <w:spacing w:line="560" w:lineRule="atLeast"/>
        <w:ind w:left="0" w:firstLine="640"/>
        <w:rPr>
          <w:rFonts w:hint="eastAsia" w:ascii="黑体" w:hAnsi="宋体" w:eastAsia="黑体" w:cs="黑体"/>
          <w:b w:val="0"/>
          <w:sz w:val="31"/>
          <w:szCs w:val="31"/>
        </w:rPr>
      </w:pPr>
    </w:p>
    <w:p w14:paraId="40684935">
      <w:pPr>
        <w:pStyle w:val="5"/>
        <w:keepNext w:val="0"/>
        <w:keepLines w:val="0"/>
        <w:widowControl/>
        <w:suppressLineNumbers w:val="0"/>
        <w:spacing w:line="560" w:lineRule="atLeast"/>
        <w:ind w:left="0" w:firstLine="640"/>
        <w:rPr>
          <w:rFonts w:hint="eastAsia" w:ascii="黑体" w:hAnsi="宋体" w:eastAsia="黑体" w:cs="黑体"/>
          <w:b w:val="0"/>
          <w:sz w:val="31"/>
          <w:szCs w:val="31"/>
        </w:rPr>
      </w:pPr>
    </w:p>
    <w:p w14:paraId="7C53A5E7">
      <w:pPr>
        <w:pStyle w:val="5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黑体" w:hAnsi="宋体" w:eastAsia="黑体" w:cs="黑体"/>
          <w:b w:val="0"/>
          <w:sz w:val="31"/>
          <w:szCs w:val="31"/>
        </w:rPr>
        <w:t>二、主动公开政府信息情况</w:t>
      </w:r>
    </w:p>
    <w:tbl>
      <w:tblPr>
        <w:tblStyle w:val="6"/>
        <w:tblW w:w="9740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 w14:paraId="294E6ECB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FFD3DE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第二十条第（一）项</w:t>
            </w:r>
          </w:p>
        </w:tc>
      </w:tr>
      <w:tr w14:paraId="0EB565B1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A47207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C8C29A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5820DA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B87A4E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现行有效件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数</w:t>
            </w:r>
          </w:p>
        </w:tc>
      </w:tr>
      <w:tr w14:paraId="4C51E1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BA235A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699061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1B37D7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D08D83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ascii="Calibri" w:hAnsi="Calibri" w:eastAsia="宋体" w:cs="Calibri"/>
                <w:sz w:val="21"/>
                <w:szCs w:val="21"/>
              </w:rPr>
              <w:t>0</w:t>
            </w:r>
          </w:p>
        </w:tc>
      </w:tr>
      <w:tr w14:paraId="2F820958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A31B2C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69BEB0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0E434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lang w:val="en-US" w:eastAsia="zh-CN"/>
              </w:rPr>
              <w:t>14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54BD7D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lang w:val="en-US" w:eastAsia="zh-CN"/>
              </w:rPr>
              <w:t>98</w:t>
            </w:r>
          </w:p>
        </w:tc>
      </w:tr>
      <w:tr w14:paraId="177EE0E8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67D457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第二十条第（五）项</w:t>
            </w:r>
          </w:p>
        </w:tc>
      </w:tr>
      <w:tr w14:paraId="79FC9FCB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CBC4C4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EE0F62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本年处理决定数量</w:t>
            </w:r>
          </w:p>
        </w:tc>
      </w:tr>
      <w:tr w14:paraId="13373AAD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7DDDBA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3FC85C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0</w:t>
            </w:r>
          </w:p>
        </w:tc>
      </w:tr>
      <w:tr w14:paraId="37435A8B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A99030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第二十条第（六）项</w:t>
            </w:r>
          </w:p>
        </w:tc>
      </w:tr>
      <w:tr w14:paraId="0A092E5A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7F4D12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11B03B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本年处理决定数量</w:t>
            </w:r>
          </w:p>
        </w:tc>
      </w:tr>
      <w:tr w14:paraId="11220C24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10893B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85F770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 w14:paraId="68CFA2F6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6F3FAE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CDF2E9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 w14:paraId="54B3C6ED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16D0E4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第二十条第（八）项</w:t>
            </w:r>
          </w:p>
        </w:tc>
      </w:tr>
      <w:tr w14:paraId="740E6302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C144D6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3D94CD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本年收费金额（单位：万元）</w:t>
            </w:r>
          </w:p>
        </w:tc>
      </w:tr>
      <w:tr w14:paraId="3AAEAEC1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1F8BFC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641410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 w14:paraId="3E2FC645">
      <w:pPr>
        <w:pStyle w:val="5"/>
        <w:keepNext w:val="0"/>
        <w:keepLines w:val="0"/>
        <w:widowControl/>
        <w:suppressLineNumbers w:val="0"/>
        <w:spacing w:line="560" w:lineRule="atLeast"/>
      </w:pPr>
      <w:r>
        <w:rPr>
          <w:rFonts w:hint="default" w:ascii="Arial" w:hAnsi="Arial" w:cs="Arial"/>
          <w:sz w:val="21"/>
          <w:szCs w:val="21"/>
        </w:rPr>
        <w:t> </w:t>
      </w:r>
    </w:p>
    <w:p w14:paraId="741423DB">
      <w:pPr>
        <w:pStyle w:val="5"/>
        <w:keepNext w:val="0"/>
        <w:keepLines w:val="0"/>
        <w:widowControl/>
        <w:suppressLineNumbers w:val="0"/>
        <w:spacing w:line="560" w:lineRule="atLeast"/>
        <w:ind w:left="0" w:firstLine="643"/>
      </w:pPr>
      <w:r>
        <w:rPr>
          <w:rFonts w:hint="eastAsia" w:ascii="黑体" w:hAnsi="宋体" w:eastAsia="黑体" w:cs="黑体"/>
          <w:b/>
          <w:sz w:val="31"/>
          <w:szCs w:val="31"/>
        </w:rPr>
        <w:t>三、收到和处理政府信息公开申请情况</w:t>
      </w:r>
    </w:p>
    <w:tbl>
      <w:tblPr>
        <w:tblStyle w:val="6"/>
        <w:tblW w:w="97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29428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F3948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BF8238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申请人情况</w:t>
            </w:r>
          </w:p>
        </w:tc>
      </w:tr>
      <w:tr w14:paraId="1DB0A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549BB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90F45B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7F9553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A08644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 w14:paraId="66D08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3396F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6FD45C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97795F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商业</w:t>
            </w:r>
          </w:p>
          <w:p w14:paraId="0C034347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7BEFBD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科研</w:t>
            </w:r>
          </w:p>
          <w:p w14:paraId="3704ED8E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FFA1C1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6E57A7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DA1695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102A71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2F9AA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E3D77E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5B757D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BE17EE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5FB867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394476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A32EAC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CD0229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6C6BA93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 w14:paraId="385C0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A5EB31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9E602F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C27FB1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B3890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A1F4B8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1C182E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E3E261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79DA587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 w14:paraId="3BEAB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C5C387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D39242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7E787D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0BBA16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F25EA6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3F6DCE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151ADC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AF0504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423843B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 w14:paraId="1875F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2173BE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B69758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（二）部分公开</w:t>
            </w:r>
            <w:r>
              <w:rPr>
                <w:rFonts w:hint="eastAsia" w:ascii="楷体" w:hAnsi="楷体" w:eastAsia="楷体" w:cs="楷体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A20DB9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FDC634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F508E6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BD5A03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93F1B0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A95271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1D0C040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 w14:paraId="24BC3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EF6623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08DAA2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6D6DA92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904340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8FC5F8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4DDDA8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28F230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BB7EC2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76D76F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169E465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 w14:paraId="72BFB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121DC5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832274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61F5AE4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34A0D9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2CF7B8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E2758B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52BEE5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4B1762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BC80E0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D8EF08F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 w14:paraId="4E7E4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72D248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F5B92C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FDE36E7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8171F1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0DBA50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10B9BF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4E9051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267E01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838688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1FDF667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 w14:paraId="42E56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070872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4A61AB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D97F37E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E03F2E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B61593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D34EA4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8650AF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6F7ED0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F54F10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838068C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 w14:paraId="131A5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884BA7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154913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AA7B02C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7B6D52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72F118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5A31F2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7BCEF1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D728E7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EA98D4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5F67B82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 w14:paraId="1C00C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3A1C4F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260D49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3B88C01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BEF0E8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BF8064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4AA6A4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7B7DF1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6E60F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0656F3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E3266AF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 w14:paraId="10475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2A16D8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4059B3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50704E4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F88AF4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29881E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81296B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5938CE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D28BC6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5075E0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4BBC5BF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 w14:paraId="4908C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275F50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6328A2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47791CB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ECB1C7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09907D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39D829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49682A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6CEF4F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8CA8FD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7E06507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 w14:paraId="677D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570CDD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1F830B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98597F6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0C8076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912F20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8ACB9A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A4F663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139E79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3E6839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6DC5B7C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 w14:paraId="461D2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1250EC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5DAD36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018E3D2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0D7E92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40179E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68E4ED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A7D6BE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8F223C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FC6C78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33F83B1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 w14:paraId="6782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B16ED8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2F3AB7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25B5C23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C378AF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C565B4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5A71D5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B48D19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EAEE33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A8083D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B4C6A0F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 w14:paraId="4E680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E83CE0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BAE739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F3360C5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E22DE7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F2DD75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3962A8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A6C190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CFE242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A81610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96A9FCA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 w14:paraId="395AF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9ACE7C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6904BC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15DBBE6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746324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3992EF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DF66C9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AEB733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B9CC97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D3A46E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B312DC4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 w14:paraId="33883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6F7CB9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D0C007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DC94001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D96216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EADBFB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65BD7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6C31FC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F2993D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3CD3A8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30B96CD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 w14:paraId="49555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2876F8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FB5453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FC79657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EFEC16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013340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4A78BA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D536E5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9DE103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BF3A28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892CD66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 w14:paraId="01030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DDEB1A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5CCA92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A80C9F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3E2F29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8209EA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1963A3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54214A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6BC525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F9FD83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1D02952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 w14:paraId="034D3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4740D9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259E71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9F7BA1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F29FDC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1879DB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13C483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F59EE0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E6CD70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86EBB3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A064CEF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 w14:paraId="7AD69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9D10CC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BFDD06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1D0FA6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F99AA0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ABE7F5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042861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71D2EE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866BCC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55C2ED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70251DC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 w14:paraId="22227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B608C5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552676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D25BE4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CA4007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C0696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1A8AF8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EC7F7F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A62EBC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9064D6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4328BA1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 w14:paraId="22004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87267D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900347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8BEDFA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288DF0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D91B09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3E7144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693421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586D5A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787EBCA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 w14:paraId="144E4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BD9409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7F4A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90571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E5125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88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19730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B4AFF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3488D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7791E2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</w:tbl>
    <w:p w14:paraId="7967119C">
      <w:pPr>
        <w:pStyle w:val="5"/>
        <w:keepNext w:val="0"/>
        <w:keepLines w:val="0"/>
        <w:widowControl/>
        <w:suppressLineNumbers w:val="0"/>
        <w:spacing w:line="560" w:lineRule="atLeast"/>
      </w:pPr>
      <w:r>
        <w:rPr>
          <w:rFonts w:hint="default" w:ascii="Arial" w:hAnsi="Arial" w:cs="Arial"/>
          <w:sz w:val="21"/>
          <w:szCs w:val="21"/>
        </w:rPr>
        <w:t> </w:t>
      </w:r>
    </w:p>
    <w:p w14:paraId="451A319C">
      <w:pPr>
        <w:pStyle w:val="5"/>
        <w:keepNext w:val="0"/>
        <w:keepLines w:val="0"/>
        <w:widowControl/>
        <w:suppressLineNumbers w:val="0"/>
        <w:spacing w:line="560" w:lineRule="atLeast"/>
        <w:ind w:left="0" w:firstLine="640"/>
        <w:rPr>
          <w:rFonts w:hint="eastAsia" w:ascii="黑体" w:hAnsi="宋体" w:eastAsia="黑体" w:cs="黑体"/>
          <w:b w:val="0"/>
          <w:sz w:val="31"/>
          <w:szCs w:val="31"/>
        </w:rPr>
      </w:pPr>
    </w:p>
    <w:p w14:paraId="1C8DB2DD">
      <w:pPr>
        <w:pStyle w:val="5"/>
        <w:keepNext w:val="0"/>
        <w:keepLines w:val="0"/>
        <w:widowControl/>
        <w:suppressLineNumbers w:val="0"/>
        <w:spacing w:line="560" w:lineRule="atLeast"/>
        <w:ind w:left="0" w:firstLine="640"/>
        <w:rPr>
          <w:rFonts w:hint="eastAsia" w:ascii="黑体" w:hAnsi="宋体" w:eastAsia="黑体" w:cs="黑体"/>
          <w:b w:val="0"/>
          <w:sz w:val="31"/>
          <w:szCs w:val="31"/>
        </w:rPr>
      </w:pPr>
    </w:p>
    <w:p w14:paraId="53EDA470">
      <w:pPr>
        <w:pStyle w:val="5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黑体" w:hAnsi="宋体" w:eastAsia="黑体" w:cs="黑体"/>
          <w:b w:val="0"/>
          <w:sz w:val="31"/>
          <w:szCs w:val="31"/>
        </w:rPr>
        <w:t>四、政府信息公开行政复议、行政诉讼情况</w:t>
      </w:r>
    </w:p>
    <w:tbl>
      <w:tblPr>
        <w:tblStyle w:val="6"/>
        <w:tblW w:w="97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6F299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0AB85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4968F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行政诉讼</w:t>
            </w:r>
          </w:p>
        </w:tc>
      </w:tr>
      <w:tr w14:paraId="55E4F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8797B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4C02D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  <w:p w14:paraId="31C8B6CD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6079E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  <w:p w14:paraId="6709F968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8219F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  <w:p w14:paraId="345E74A9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6D18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0FFA1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4168C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复议后起诉</w:t>
            </w:r>
          </w:p>
        </w:tc>
      </w:tr>
      <w:tr w14:paraId="4C754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0A25A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BA094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9FBE9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721EC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873C"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07CB5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  <w:p w14:paraId="770FF282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E3B26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  <w:p w14:paraId="059AB63E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C8290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  <w:p w14:paraId="2BC45380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E2CD1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  <w:p w14:paraId="71157F22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43F20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86A57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  <w:p w14:paraId="3C4A2B6E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64A51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  <w:p w14:paraId="0B0881CF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59AB4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其他结果</w:t>
            </w:r>
          </w:p>
          <w:p w14:paraId="7C1E096C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C380F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  <w:p w14:paraId="127022E5"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B73B3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</w:tr>
      <w:tr w14:paraId="28DF0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A0BEE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F940C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E0A95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B117C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F2DB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9CB1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2A066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12F50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6F451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FAA6B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F321F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B8A82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54976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277C6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D708E">
            <w:pPr>
              <w:pStyle w:val="5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 w14:paraId="3C4172C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</w:pPr>
      <w:r>
        <w:rPr>
          <w:rFonts w:hint="default" w:ascii="Arial" w:hAnsi="Arial" w:cs="Arial"/>
          <w:sz w:val="21"/>
          <w:szCs w:val="21"/>
        </w:rPr>
        <w:t> </w:t>
      </w:r>
    </w:p>
    <w:p w14:paraId="748C1822">
      <w:pPr>
        <w:pStyle w:val="5"/>
        <w:keepNext w:val="0"/>
        <w:keepLines w:val="0"/>
        <w:widowControl/>
        <w:suppressLineNumbers w:val="0"/>
        <w:spacing w:line="560" w:lineRule="atLeast"/>
        <w:ind w:left="420" w:firstLine="320"/>
      </w:pPr>
      <w:r>
        <w:rPr>
          <w:rFonts w:hint="eastAsia" w:ascii="黑体" w:hAnsi="宋体" w:eastAsia="黑体" w:cs="黑体"/>
          <w:b w:val="0"/>
          <w:sz w:val="31"/>
          <w:szCs w:val="31"/>
        </w:rPr>
        <w:t>五、存在的主要问题及改进</w:t>
      </w:r>
      <w:r>
        <w:rPr>
          <w:rFonts w:hint="eastAsia" w:ascii="黑体" w:hAnsi="宋体" w:eastAsia="黑体" w:cs="黑体"/>
          <w:b w:val="0"/>
          <w:sz w:val="31"/>
          <w:szCs w:val="31"/>
          <w:lang w:eastAsia="zh-CN"/>
        </w:rPr>
        <w:t>措施</w:t>
      </w:r>
    </w:p>
    <w:p w14:paraId="78BEA82B">
      <w:pPr>
        <w:spacing w:line="578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政府信息公开工作人员对法律法规的理解和掌握有待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 w:cs="仿宋"/>
          <w:sz w:val="32"/>
          <w:szCs w:val="32"/>
        </w:rPr>
        <w:t>深入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提高。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改进措施：</w:t>
      </w:r>
      <w:r>
        <w:rPr>
          <w:rFonts w:hint="eastAsia" w:ascii="仿宋" w:hAnsi="仿宋" w:eastAsia="仿宋" w:cs="仿宋"/>
          <w:sz w:val="32"/>
          <w:szCs w:val="32"/>
        </w:rPr>
        <w:t>加大教育培训力度，提高工作人员对法律法规的理解和运用的能力，提高工作人员对法律法规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解读</w:t>
      </w:r>
      <w:r>
        <w:rPr>
          <w:rFonts w:hint="eastAsia" w:ascii="仿宋" w:hAnsi="仿宋" w:eastAsia="仿宋" w:cs="仿宋"/>
          <w:sz w:val="32"/>
          <w:szCs w:val="32"/>
        </w:rPr>
        <w:t>能力和水平，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 w:cs="仿宋"/>
          <w:sz w:val="32"/>
          <w:szCs w:val="32"/>
        </w:rPr>
        <w:t>提升工作效能。</w:t>
      </w:r>
    </w:p>
    <w:p w14:paraId="7589F7CA">
      <w:pPr>
        <w:spacing w:line="578" w:lineRule="exact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、信息</w:t>
      </w:r>
      <w:r>
        <w:rPr>
          <w:rFonts w:hint="eastAsia" w:ascii="仿宋" w:hAnsi="仿宋" w:eastAsia="仿宋" w:cs="仿宋"/>
          <w:sz w:val="32"/>
          <w:szCs w:val="32"/>
        </w:rPr>
        <w:t>公开工作流程有待规范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协调机制建设需要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一步</w:t>
      </w:r>
      <w:r>
        <w:rPr>
          <w:rFonts w:hint="eastAsia" w:ascii="仿宋" w:hAnsi="仿宋" w:eastAsia="仿宋" w:cs="仿宋"/>
          <w:sz w:val="32"/>
          <w:szCs w:val="32"/>
        </w:rPr>
        <w:t>加强。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改进措施：</w:t>
      </w:r>
      <w:r>
        <w:rPr>
          <w:rFonts w:hint="eastAsia" w:ascii="仿宋" w:hAnsi="仿宋" w:eastAsia="仿宋" w:cs="仿宋"/>
          <w:sz w:val="32"/>
          <w:szCs w:val="32"/>
        </w:rPr>
        <w:t>进一步完善制度建设,规范工作流程,增强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科室间</w:t>
      </w:r>
      <w:r>
        <w:rPr>
          <w:rFonts w:hint="eastAsia" w:ascii="仿宋" w:hAnsi="仿宋" w:eastAsia="仿宋" w:cs="仿宋"/>
          <w:sz w:val="32"/>
          <w:szCs w:val="32"/>
        </w:rPr>
        <w:t>的协调机制建设。</w:t>
      </w:r>
    </w:p>
    <w:p w14:paraId="4D9CB584">
      <w:pPr>
        <w:pStyle w:val="5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黑体" w:hAnsi="宋体" w:eastAsia="黑体" w:cs="黑体"/>
          <w:b w:val="0"/>
          <w:sz w:val="31"/>
          <w:szCs w:val="31"/>
        </w:rPr>
        <w:t>六、其他需要报告的事项</w:t>
      </w:r>
    </w:p>
    <w:p w14:paraId="632E9769">
      <w:pPr>
        <w:pStyle w:val="5"/>
        <w:keepNext w:val="0"/>
        <w:keepLines w:val="0"/>
        <w:widowControl/>
        <w:suppressLineNumbers w:val="0"/>
        <w:spacing w:line="560" w:lineRule="atLeast"/>
        <w:ind w:left="0" w:firstLine="672"/>
        <w:jc w:val="left"/>
      </w:pPr>
      <w:r>
        <w:rPr>
          <w:rFonts w:hint="eastAsia" w:ascii="仿宋_GB2312" w:hAnsi="Arial" w:eastAsia="仿宋_GB2312" w:cs="仿宋_GB2312"/>
          <w:spacing w:val="8"/>
          <w:sz w:val="31"/>
          <w:szCs w:val="31"/>
        </w:rPr>
        <w:t>本单位依据《政府信息公开信息处理费管理办法》收取信息处理费，发出收费通知的件数和总金额以及实际收取的总金额均为0。</w:t>
      </w:r>
    </w:p>
    <w:p w14:paraId="17FF8063">
      <w:pPr>
        <w:pStyle w:val="5"/>
        <w:keepNext w:val="0"/>
        <w:keepLines w:val="0"/>
        <w:widowControl/>
        <w:suppressLineNumbers w:val="0"/>
        <w:wordWrap w:val="0"/>
        <w:spacing w:line="560" w:lineRule="atLeast"/>
        <w:ind w:left="0" w:right="0" w:firstLine="672"/>
        <w:jc w:val="left"/>
      </w:pPr>
      <w:r>
        <w:rPr>
          <w:rFonts w:hint="eastAsia" w:ascii="仿宋_GB2312" w:hAnsi="Arial" w:eastAsia="仿宋_GB2312" w:cs="仿宋_GB2312"/>
          <w:spacing w:val="8"/>
          <w:sz w:val="31"/>
          <w:szCs w:val="31"/>
        </w:rPr>
        <w:t>北京市东城区人民政府门户网站网址为http://www.bjdch.gov.cn/，如需了解更多政府信息，请登录查询。</w:t>
      </w:r>
    </w:p>
    <w:p w14:paraId="20CB6F69">
      <w:pPr>
        <w:pStyle w:val="5"/>
        <w:keepNext w:val="0"/>
        <w:keepLines w:val="0"/>
        <w:widowControl/>
        <w:suppressLineNumbers w:val="0"/>
        <w:wordWrap w:val="0"/>
        <w:spacing w:line="560" w:lineRule="atLeast"/>
        <w:ind w:left="0" w:right="0" w:firstLine="672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Arial" w:eastAsia="仿宋_GB2312" w:cs="仿宋_GB2312"/>
          <w:spacing w:val="8"/>
          <w:sz w:val="31"/>
          <w:szCs w:val="31"/>
        </w:rPr>
        <w:fldChar w:fldCharType="begin"/>
      </w:r>
      <w:r>
        <w:rPr>
          <w:rFonts w:hint="eastAsia" w:ascii="仿宋_GB2312" w:hAnsi="Arial" w:eastAsia="仿宋_GB2312" w:cs="仿宋_GB2312"/>
          <w:spacing w:val="8"/>
          <w:sz w:val="31"/>
          <w:szCs w:val="31"/>
        </w:rPr>
        <w:instrText xml:space="preserve"> HYPERLINK "http://172.25.65.106/manageweb/edit.content.StreamOutPartsAction.action?contentId=13074276&amp;partId=13074281" </w:instrText>
      </w:r>
      <w:r>
        <w:rPr>
          <w:rFonts w:hint="eastAsia" w:ascii="仿宋_GB2312" w:hAnsi="Arial" w:eastAsia="仿宋_GB2312" w:cs="仿宋_GB2312"/>
          <w:spacing w:val="8"/>
          <w:sz w:val="31"/>
          <w:szCs w:val="31"/>
        </w:rPr>
        <w:fldChar w:fldCharType="separate"/>
      </w:r>
      <w:r>
        <w:rPr>
          <w:rStyle w:val="12"/>
          <w:rFonts w:hint="eastAsia" w:ascii="仿宋_GB2312" w:hAnsi="Arial" w:eastAsia="仿宋_GB2312" w:cs="仿宋_GB2312"/>
          <w:spacing w:val="8"/>
          <w:sz w:val="31"/>
          <w:szCs w:val="31"/>
        </w:rPr>
        <w:t>北京市东城区人民政府办公室202</w:t>
      </w:r>
      <w:r>
        <w:rPr>
          <w:rStyle w:val="12"/>
          <w:rFonts w:hint="eastAsia" w:ascii="仿宋_GB2312" w:hAnsi="Arial" w:eastAsia="仿宋_GB2312" w:cs="仿宋_GB2312"/>
          <w:spacing w:val="8"/>
          <w:sz w:val="31"/>
          <w:szCs w:val="31"/>
          <w:lang w:val="en-US" w:eastAsia="zh-CN"/>
        </w:rPr>
        <w:t>4</w:t>
      </w:r>
      <w:r>
        <w:rPr>
          <w:rStyle w:val="12"/>
          <w:rFonts w:hint="eastAsia" w:ascii="仿宋_GB2312" w:hAnsi="Arial" w:eastAsia="仿宋_GB2312" w:cs="仿宋_GB2312"/>
          <w:spacing w:val="8"/>
          <w:sz w:val="31"/>
          <w:szCs w:val="31"/>
        </w:rPr>
        <w:t>年政府信息公开工作年度报告</w:t>
      </w:r>
      <w:r>
        <w:rPr>
          <w:rFonts w:hint="eastAsia" w:ascii="仿宋_GB2312" w:hAnsi="Arial" w:eastAsia="仿宋_GB2312" w:cs="仿宋_GB2312"/>
          <w:spacing w:val="8"/>
          <w:sz w:val="31"/>
          <w:szCs w:val="31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56EB"/>
    <w:rsid w:val="0019743C"/>
    <w:rsid w:val="001A5533"/>
    <w:rsid w:val="001A61DD"/>
    <w:rsid w:val="001B32F7"/>
    <w:rsid w:val="00206AAD"/>
    <w:rsid w:val="00237E02"/>
    <w:rsid w:val="00294D71"/>
    <w:rsid w:val="002C6AF5"/>
    <w:rsid w:val="002F2C6A"/>
    <w:rsid w:val="00355857"/>
    <w:rsid w:val="00386682"/>
    <w:rsid w:val="003B75F0"/>
    <w:rsid w:val="00406ADF"/>
    <w:rsid w:val="00475DF6"/>
    <w:rsid w:val="004B15A2"/>
    <w:rsid w:val="004F4478"/>
    <w:rsid w:val="005971BA"/>
    <w:rsid w:val="005B565E"/>
    <w:rsid w:val="005E7F83"/>
    <w:rsid w:val="005F723F"/>
    <w:rsid w:val="00605778"/>
    <w:rsid w:val="007B7C12"/>
    <w:rsid w:val="008013C9"/>
    <w:rsid w:val="0084710E"/>
    <w:rsid w:val="0086725D"/>
    <w:rsid w:val="008E60F0"/>
    <w:rsid w:val="008F75AE"/>
    <w:rsid w:val="009B1C93"/>
    <w:rsid w:val="00A64887"/>
    <w:rsid w:val="00AD48D0"/>
    <w:rsid w:val="00AF66FC"/>
    <w:rsid w:val="00C31C93"/>
    <w:rsid w:val="00CB65E3"/>
    <w:rsid w:val="00D33933"/>
    <w:rsid w:val="00DB1840"/>
    <w:rsid w:val="00E51D79"/>
    <w:rsid w:val="00E65168"/>
    <w:rsid w:val="00E76318"/>
    <w:rsid w:val="00EE5DA2"/>
    <w:rsid w:val="00EE7A58"/>
    <w:rsid w:val="00F47C85"/>
    <w:rsid w:val="00F96AC7"/>
    <w:rsid w:val="00FB721E"/>
    <w:rsid w:val="00FD1248"/>
    <w:rsid w:val="00FE332C"/>
    <w:rsid w:val="024128CD"/>
    <w:rsid w:val="026D0BB5"/>
    <w:rsid w:val="048F50C1"/>
    <w:rsid w:val="04F62D42"/>
    <w:rsid w:val="05765FEA"/>
    <w:rsid w:val="05C422AC"/>
    <w:rsid w:val="05F87FA0"/>
    <w:rsid w:val="07BF5B60"/>
    <w:rsid w:val="08276F76"/>
    <w:rsid w:val="0B195A9A"/>
    <w:rsid w:val="0B7A17EF"/>
    <w:rsid w:val="0C4607B2"/>
    <w:rsid w:val="0C8E079A"/>
    <w:rsid w:val="0DEC31CF"/>
    <w:rsid w:val="108475C3"/>
    <w:rsid w:val="10FD3980"/>
    <w:rsid w:val="11DD67F3"/>
    <w:rsid w:val="12886CE6"/>
    <w:rsid w:val="130939F2"/>
    <w:rsid w:val="136B1756"/>
    <w:rsid w:val="14262E9B"/>
    <w:rsid w:val="14276AE7"/>
    <w:rsid w:val="144A3773"/>
    <w:rsid w:val="149A77BC"/>
    <w:rsid w:val="153E3B7F"/>
    <w:rsid w:val="158072D0"/>
    <w:rsid w:val="17447259"/>
    <w:rsid w:val="17F2375F"/>
    <w:rsid w:val="18B02D33"/>
    <w:rsid w:val="1CEB2C3C"/>
    <w:rsid w:val="1D756A60"/>
    <w:rsid w:val="1DDF26F2"/>
    <w:rsid w:val="206E24D8"/>
    <w:rsid w:val="21E42AB6"/>
    <w:rsid w:val="2211148E"/>
    <w:rsid w:val="25220594"/>
    <w:rsid w:val="253664F9"/>
    <w:rsid w:val="258E7650"/>
    <w:rsid w:val="27E271C1"/>
    <w:rsid w:val="2941161C"/>
    <w:rsid w:val="2AE851D4"/>
    <w:rsid w:val="2E071AAE"/>
    <w:rsid w:val="2FF25ED6"/>
    <w:rsid w:val="30391D42"/>
    <w:rsid w:val="323847CF"/>
    <w:rsid w:val="32661E79"/>
    <w:rsid w:val="33B43683"/>
    <w:rsid w:val="360A3116"/>
    <w:rsid w:val="36F911EB"/>
    <w:rsid w:val="374264D9"/>
    <w:rsid w:val="375A407A"/>
    <w:rsid w:val="386313AB"/>
    <w:rsid w:val="38AC32F2"/>
    <w:rsid w:val="38FA1EDF"/>
    <w:rsid w:val="39312C65"/>
    <w:rsid w:val="39F87DB9"/>
    <w:rsid w:val="3A7737D2"/>
    <w:rsid w:val="3B0C59EE"/>
    <w:rsid w:val="3D327F7F"/>
    <w:rsid w:val="3E8E6840"/>
    <w:rsid w:val="3F035660"/>
    <w:rsid w:val="3F2947B7"/>
    <w:rsid w:val="3F906F47"/>
    <w:rsid w:val="3FCA3020"/>
    <w:rsid w:val="4010339B"/>
    <w:rsid w:val="406E089B"/>
    <w:rsid w:val="469B79E0"/>
    <w:rsid w:val="46A17458"/>
    <w:rsid w:val="489912ED"/>
    <w:rsid w:val="48DB40D8"/>
    <w:rsid w:val="498F3396"/>
    <w:rsid w:val="4A104F9E"/>
    <w:rsid w:val="4A960F09"/>
    <w:rsid w:val="4B1100C4"/>
    <w:rsid w:val="4C11096F"/>
    <w:rsid w:val="4CDC3075"/>
    <w:rsid w:val="4D0273EC"/>
    <w:rsid w:val="4D8A2479"/>
    <w:rsid w:val="509C67A0"/>
    <w:rsid w:val="50CE0D6E"/>
    <w:rsid w:val="52937E02"/>
    <w:rsid w:val="53E84D53"/>
    <w:rsid w:val="54D810EE"/>
    <w:rsid w:val="55F9526E"/>
    <w:rsid w:val="562C5E14"/>
    <w:rsid w:val="567F3E44"/>
    <w:rsid w:val="569513D8"/>
    <w:rsid w:val="56C25075"/>
    <w:rsid w:val="57A8045C"/>
    <w:rsid w:val="587F71F9"/>
    <w:rsid w:val="5AD4477B"/>
    <w:rsid w:val="5BC12709"/>
    <w:rsid w:val="5D5E35F8"/>
    <w:rsid w:val="5E886101"/>
    <w:rsid w:val="61C851C0"/>
    <w:rsid w:val="622473A0"/>
    <w:rsid w:val="6278621C"/>
    <w:rsid w:val="629A6529"/>
    <w:rsid w:val="632C1906"/>
    <w:rsid w:val="638A6786"/>
    <w:rsid w:val="64523523"/>
    <w:rsid w:val="64AC0C2B"/>
    <w:rsid w:val="65712797"/>
    <w:rsid w:val="66D04D48"/>
    <w:rsid w:val="6726667C"/>
    <w:rsid w:val="67DC42E6"/>
    <w:rsid w:val="6840037B"/>
    <w:rsid w:val="68A47FBA"/>
    <w:rsid w:val="68F02638"/>
    <w:rsid w:val="6B740797"/>
    <w:rsid w:val="6DAA4FC4"/>
    <w:rsid w:val="6DF94E41"/>
    <w:rsid w:val="6E740745"/>
    <w:rsid w:val="6EA25D92"/>
    <w:rsid w:val="70737FB9"/>
    <w:rsid w:val="70953D88"/>
    <w:rsid w:val="72744F74"/>
    <w:rsid w:val="72E82D63"/>
    <w:rsid w:val="73621579"/>
    <w:rsid w:val="742247AA"/>
    <w:rsid w:val="74AF5406"/>
    <w:rsid w:val="7572642A"/>
    <w:rsid w:val="757B75B7"/>
    <w:rsid w:val="761B3985"/>
    <w:rsid w:val="7A212F82"/>
    <w:rsid w:val="7A3241A5"/>
    <w:rsid w:val="7D0970B0"/>
    <w:rsid w:val="7E237C2E"/>
    <w:rsid w:val="7FD95C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qFormat="1" w:uiPriority="0" w:semiHidden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20"/>
    <w:rPr>
      <w:i/>
    </w:rPr>
  </w:style>
  <w:style w:type="character" w:styleId="11">
    <w:name w:val="HTML Variable"/>
    <w:basedOn w:val="7"/>
    <w:unhideWhenUsed/>
    <w:qFormat/>
    <w:uiPriority w:val="0"/>
    <w:rPr>
      <w:i/>
    </w:rPr>
  </w:style>
  <w:style w:type="character" w:styleId="12">
    <w:name w:val="Hyperlink"/>
    <w:basedOn w:val="7"/>
    <w:unhideWhenUsed/>
    <w:qFormat/>
    <w:uiPriority w:val="0"/>
    <w:rPr>
      <w:color w:val="0000FF"/>
      <w:u w:val="single"/>
    </w:rPr>
  </w:style>
  <w:style w:type="character" w:styleId="13">
    <w:name w:val="HTML Code"/>
    <w:basedOn w:val="7"/>
    <w:unhideWhenUsed/>
    <w:qFormat/>
    <w:uiPriority w:val="0"/>
    <w:rPr>
      <w:rFonts w:ascii="Courier New" w:hAnsi="Courier New"/>
      <w:sz w:val="20"/>
    </w:rPr>
  </w:style>
  <w:style w:type="character" w:customStyle="1" w:styleId="14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6">
    <w:name w:val="more"/>
    <w:basedOn w:val="7"/>
    <w:qFormat/>
    <w:uiPriority w:val="0"/>
    <w:rPr>
      <w:color w:val="4D4D4D"/>
      <w:sz w:val="21"/>
      <w:szCs w:val="21"/>
    </w:rPr>
  </w:style>
  <w:style w:type="character" w:customStyle="1" w:styleId="17">
    <w:name w:val="sdpic"/>
    <w:basedOn w:val="7"/>
    <w:qFormat/>
    <w:uiPriority w:val="0"/>
  </w:style>
  <w:style w:type="character" w:customStyle="1" w:styleId="18">
    <w:name w:val="width22"/>
    <w:basedOn w:val="7"/>
    <w:qFormat/>
    <w:uiPriority w:val="0"/>
  </w:style>
  <w:style w:type="character" w:customStyle="1" w:styleId="19">
    <w:name w:val="u_page"/>
    <w:basedOn w:val="7"/>
    <w:qFormat/>
    <w:uiPriority w:val="0"/>
  </w:style>
  <w:style w:type="character" w:customStyle="1" w:styleId="20">
    <w:name w:val="width24"/>
    <w:basedOn w:val="7"/>
    <w:qFormat/>
    <w:uiPriority w:val="0"/>
  </w:style>
  <w:style w:type="character" w:customStyle="1" w:styleId="21">
    <w:name w:val="xtitle"/>
    <w:basedOn w:val="7"/>
    <w:qFormat/>
    <w:uiPriority w:val="0"/>
    <w:rPr>
      <w:color w:val="A1A1A1"/>
      <w:sz w:val="18"/>
      <w:szCs w:val="18"/>
      <w:bdr w:val="single" w:color="A1A1A1" w:sz="6" w:space="0"/>
    </w:rPr>
  </w:style>
  <w:style w:type="character" w:customStyle="1" w:styleId="22">
    <w:name w:val="dftime"/>
    <w:basedOn w:val="7"/>
    <w:qFormat/>
    <w:uiPriority w:val="0"/>
    <w:rPr>
      <w:color w:val="A1A1A1"/>
      <w:sz w:val="21"/>
      <w:szCs w:val="21"/>
    </w:rPr>
  </w:style>
  <w:style w:type="character" w:customStyle="1" w:styleId="23">
    <w:name w:val="more5"/>
    <w:basedOn w:val="7"/>
    <w:qFormat/>
    <w:uiPriority w:val="0"/>
    <w:rPr>
      <w:color w:val="4D4D4D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1850</Words>
  <Characters>1910</Characters>
  <Lines>12</Lines>
  <Paragraphs>3</Paragraphs>
  <TotalTime>13</TotalTime>
  <ScaleCrop>false</ScaleCrop>
  <LinksUpToDate>false</LinksUpToDate>
  <CharactersWithSpaces>2174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2019-12-20T09:04:00Z</dcterms:created>
  <dc:creator>1</dc:creator>
  <cp:lastModifiedBy>yukime</cp:lastModifiedBy>
  <cp:lastPrinted>2020-01-17T09:34:00Z</cp:lastPrinted>
  <dcterms:modified xsi:type="dcterms:W3CDTF">2025-01-17T08:59:04Z</dcterms:modified>
  <dc:title>北京市东城区市场监督管理局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eyJoZGlkIjoiMjQ4OWM2OWVkZGFiYjIwYWExYmU2YTc1NDEzNjk5YzciLCJ1c2VySWQiOiI2Mzc1MDI3OTEifQ==</vt:lpwstr>
  </property>
  <property fmtid="{D5CDD505-2E9C-101B-9397-08002B2CF9AE}" pid="4" name="ICV">
    <vt:lpwstr>B9DF39C8BD3D4940BD3DF38C23F25ECE_12</vt:lpwstr>
  </property>
</Properties>
</file>