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E82B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东华门街道202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</w:t>
      </w:r>
    </w:p>
    <w:p w14:paraId="746B03C8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工作年度报告</w:t>
      </w:r>
    </w:p>
    <w:p w14:paraId="169CFE5F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640DF8D5"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(以下简称《政府信息公开条例》)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第五十条规定，编制本报告。</w:t>
      </w:r>
    </w:p>
    <w:p w14:paraId="6979B3C8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 w14:paraId="70B2FF6E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1.组织领导情况。街道政府信息公开工作由综合办公室牵头，主要领导高度重视、亲自部署，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将政务公开工作明确列入处级领导分工，并安排专人负责政务公开工作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好“主要领导亲自抓、分管领导具体抓、牵头科室主责、其他科室配合”的高效联动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确保各项工作组织到位、落实到位。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道主要领导多次听取政府信息公开工作情况汇报，责成综合办公室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《东华门街道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工作制度》，确保政府信息公开工作具有强有力的组织保障。</w:t>
      </w:r>
    </w:p>
    <w:p w14:paraId="6BF5E757">
      <w:pPr>
        <w:pStyle w:val="6"/>
        <w:widowControl/>
        <w:spacing w:before="0" w:beforeAutospacing="0" w:after="0" w:afterAutospacing="0"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color w:val="28282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2.主动公开情况。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为方便公众了解信息，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街道一方面通过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东城区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政府网站、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“这里是东华”微信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公众号主动公开政府信息，另一方面，在街道政务大厅、各社区服务站设立资料索取点提供政府信息公开指南、政府公报等供公众阅览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年通过政府信息公开网站主动公开政府信息2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及时公开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  <w:lang w:eastAsia="zh-CN"/>
        </w:rPr>
        <w:t>行政执法统计年报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、每季度行政检查结果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等文件，定期公示行政检查和行政处罚信息。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定期公示享受低保人数和资金支出、分散特困人员人数和资金支出等社会救助情况。“这里是东华”微信平台共宣发推送公号内容1239条，其中原创526条，及时转发官方信息713条，全年实现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“每日推送”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不间断。</w:t>
      </w:r>
    </w:p>
    <w:p w14:paraId="673736DD">
      <w:pPr>
        <w:pStyle w:val="4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3.依申请公开办理情况。东华门街道办事处本年新收政府信息公开申请数量为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件，与上年相比增加1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0%。街道严格按照法定的处理方式做出处理，就申请人提出的信息公开申请按时、按程序进行了答复，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件按时办结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结转下年度继续办理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其中，收到1件行政复议申请，经行政复议机关受理驳回申请人的行政复议请求。</w:t>
      </w:r>
    </w:p>
    <w:p w14:paraId="798CA298">
      <w:pPr>
        <w:pStyle w:val="4"/>
        <w:spacing w:line="560" w:lineRule="exact"/>
        <w:ind w:firstLine="672" w:firstLineChars="200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4.政府信息管理及信息公开平台建设情况。202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年，东华门街道</w:t>
      </w:r>
      <w:r>
        <w:rPr>
          <w:rFonts w:hint="default" w:ascii="Times New Roman" w:hAnsi="Times New Roman" w:eastAsia="仿宋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《东城区202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年政务公开工作要点》，切实推进街道信息公</w:t>
      </w:r>
      <w:r>
        <w:rPr>
          <w:rFonts w:hint="default" w:ascii="Times New Roman" w:hAnsi="Times New Roman" w:eastAsia="仿宋" w:cs="Times New Roman"/>
          <w:sz w:val="32"/>
          <w:szCs w:val="32"/>
        </w:rPr>
        <w:t>开工作。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根据《中华人民共和国保守国家秘密法》要求，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进一步规范信息发布保密审查工作流程，完善《东华门街道信息发布保密审查单》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到“上网信息不涉密、涉密信息不上网”。高度重视政府信息公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开平台建设情况，及时对政务公开全清单、指南、网上栏目和信息等进行完善、更新，保障公开的权威性和准确性，方便公众获取相关政府信息。</w:t>
      </w:r>
    </w:p>
    <w:p w14:paraId="3D83FDF9">
      <w:p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5.政府信息公开教育培训及监督保障情况。积极提升信息公开工作水平，主管领导和科室工作人员积极参加区政务服务局组织的学习培训，创新政府信息公开理念、方法、渠道。加强信息公开督导工作，持续加大对政府信息公开工作指导和监督力度，综合办公室不定期组织召开街道科室内勤会，组织信息公开培训，提升工作人员业务能力，对各科室信息报送工作提出具体要求，确保信息公开工作有效推进。</w:t>
      </w:r>
    </w:p>
    <w:p w14:paraId="644E182B">
      <w:pPr>
        <w:autoSpaceDE w:val="0"/>
        <w:autoSpaceDN w:val="0"/>
        <w:adjustRightInd w:val="0"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6.《东城区202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年政务公开工作要点》落实情况。深化重点领域信息公开，及时发布就业帮扶、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为老服务、矛调解纷、公益慈善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等民生相关信息。加强政府信息公开规范，依法依规办理政府信息公开申请，确保申请渠道畅通、法定答复时限准确。加强政务公开能力建设，专题围绕贯彻落实《政府信息公开条例》，组织分管领导、工作人员强化学习培训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积极开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展“政务开放日”活动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，开展交流互动、收集意见建议，为辖区居民提供高效便捷的服务。</w:t>
      </w:r>
    </w:p>
    <w:p w14:paraId="3B862028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 w14:paraId="2DD0DA48">
      <w:pPr>
        <w:pStyle w:val="4"/>
        <w:rPr>
          <w:rFonts w:hint="default" w:ascii="Times New Roman" w:hAnsi="Times New Roman" w:cs="Times New Roman"/>
        </w:rPr>
      </w:pPr>
    </w:p>
    <w:p w14:paraId="4AA31B4B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07A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77A39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3CD1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4DD6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CEF0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6803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326A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6418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E47D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D459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5AC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9B0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116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B9C2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22D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2B75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985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D0D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33DA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7C16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EA8A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B92F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1E14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F202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3DB4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786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B8301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7D9C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FA30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0D95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B75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F3F9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FB9B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</w:tr>
      <w:tr w14:paraId="7C92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8D91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E369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41E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1525D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516C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5503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11FD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7DDF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6A42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45661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C8FD80C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 w14:paraId="0E119864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 w14:paraId="3E6AA818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80741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72220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A75B1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03203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77789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CE5A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B71D3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9A92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3FC79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7EE39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47FE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3256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4BA401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4325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7BF480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04388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9E453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BE78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73FE7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DBE9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6BB0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43E8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A1D7A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FA7C3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FE3BB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BA0B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89F6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0ECB8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12</w:t>
            </w:r>
          </w:p>
        </w:tc>
      </w:tr>
      <w:tr w14:paraId="6C01C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8811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069B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6520B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B131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D6A0E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0180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4BA21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F57AC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4E4BF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F497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C4B4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EB680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D3A65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083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6C2F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2732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8D9E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C86E0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A674E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9FC3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C535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49A02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D15B2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AD3B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9009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8497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31FCB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3D96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2</w:t>
            </w:r>
          </w:p>
        </w:tc>
      </w:tr>
      <w:tr w14:paraId="19876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2346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0F17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4EE97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57ADE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F2338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EBC0F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E0B69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8740E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E6922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4EFC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60E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45BC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76E5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60EB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E0B90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C3CF8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0D6B6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34F2B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16E45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73B84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C503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E8155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3A1E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F04F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0C59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9C534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2352C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68CD1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9266D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6E750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91FB8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974D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BA631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6BAD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4736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EF7C8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67105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20A4E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D07EC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58B77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59C70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BC36F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AC75C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EE927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29B4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015F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00C88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B17CA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0AD56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8F195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498B9B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658CF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B6126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AF044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067A7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104A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64A1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DAF8A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D11DB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49E9C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6B1A5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30D5A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EFB0A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2E0AF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8449B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B14A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F996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9D52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19216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12845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EA967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77C4B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722C2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32317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D14AF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74AA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AE610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B5AE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2783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4F2DA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365BE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D598D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982D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6AC03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EC501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9499B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C7FF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DAA60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A5E0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7D0C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6CB1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79972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54612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7761F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E3653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24866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145BA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27AC2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6 </w:t>
            </w:r>
          </w:p>
        </w:tc>
      </w:tr>
      <w:tr w14:paraId="15AEE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EB2B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06E2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C2872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1F62B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1FBDD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80A33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F9900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190D7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FF193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54C2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9B269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A3C0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539D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4A617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674FE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86DEFA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76C17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6C212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5D253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E2EC7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19896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0B12F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FE0E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C27E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47382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38716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29012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5B524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32661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2FE0C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AEA27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76A00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3 </w:t>
            </w:r>
          </w:p>
        </w:tc>
      </w:tr>
      <w:tr w14:paraId="41069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1359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BA6A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492E6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ECCE7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B696E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42F0E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533168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BCC9A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6DBCB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87EB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2D59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C8AA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BC9E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3A493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CE666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5499E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3D149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E67D8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10948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5CF8D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27F4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6F59D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935C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B411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15A51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C789D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9F9D3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1DFB2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70A05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CA650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51EBD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9538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D8724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8942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35E6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23F7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5D6BE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A9D05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C3010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854F1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302CA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AC9AF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AA8B2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7975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895E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F764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9111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96D5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34AB0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50E3E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FD6C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537CAA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4CDCA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3F52C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98DE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D01D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8A39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553E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C53F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A9F5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4D45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6BF4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6589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1269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D34C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378C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694E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6BE7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68A5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85A6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0EEEB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1079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38001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A6F54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A592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7F66E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E1FE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8ACB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69AD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8C66E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F07BC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3ACB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C0E2F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9F26A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E6DAF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08C176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11 </w:t>
            </w:r>
          </w:p>
        </w:tc>
      </w:tr>
      <w:tr w14:paraId="167E2F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404B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BF4FF4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9B13DD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F0F00F3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9A1B3B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AA9E9B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D3DB95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AC42B1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D9360CF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 w14:paraId="63A6726D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 w14:paraId="7EBC425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9E89C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AAE1E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FD58B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714E2E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F92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7BB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336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3AC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66E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9471C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F5A31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00590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21D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6531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797D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9AA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B06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9B5B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8DFE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375F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B94C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FB2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384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E887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71E9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9C5B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819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4800B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070E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65769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9A90B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52A9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1D36CB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8FCF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D3F9F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88D17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3BAA5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7792F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21D0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5BD760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2D10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34FD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BE5B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6BFE38B">
      <w:pPr>
        <w:widowControl/>
        <w:jc w:val="left"/>
        <w:rPr>
          <w:rFonts w:hint="default" w:ascii="Times New Roman" w:hAnsi="Times New Roman" w:cs="Times New Roman"/>
        </w:rPr>
      </w:pPr>
    </w:p>
    <w:p w14:paraId="6A7D73AD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 w14:paraId="62D5B851">
      <w:pPr>
        <w:widowControl/>
        <w:spacing w:line="560" w:lineRule="exact"/>
        <w:ind w:firstLine="672" w:firstLineChars="200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东华门街道在政府信息公开工作方面主要存在信息更新还不够及时，信息公开的范围和内容有待进一步扩大完善，信息公开队伍建设有待加强等问题。针对这些问题，下一步街道将做好以下工作：一是进一步完善政府信息公开的发布机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严格信息公开的审批流程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进一步完善监督机制，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确保发布及时准确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。二是进一步强化协调机制，加大民生、综合执法等重点领域公开力度，不断扩大信息公开的范围和内容，创新公开形式，推进政府信息公开工作再上新台阶。三是加强对信息公开工作人员的业务培训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，积极参加区级部门组织的各项培训活动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，提高工作人员对信息公开及保密工作的认识水平和政策把握能力。</w:t>
      </w:r>
    </w:p>
    <w:p w14:paraId="00E4C259">
      <w:pPr>
        <w:widowControl/>
        <w:spacing w:line="560" w:lineRule="exact"/>
        <w:ind w:firstLine="675"/>
        <w:jc w:val="left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 w14:paraId="3C5E4EB5">
      <w:pPr>
        <w:widowControl/>
        <w:spacing w:line="560" w:lineRule="exact"/>
        <w:ind w:firstLine="66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年，东华门街道没有收取政府信息公开信息处理费，发出收费通知的件数和总金额以及实际收取的总金额均为0。北京市东城区人民政府门户网站网址为http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://www.bjdch.gov.cn/，如需了解更多政府信息，请登录查询。</w:t>
      </w:r>
    </w:p>
    <w:p w14:paraId="726719D4">
      <w:pPr>
        <w:pStyle w:val="2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</w:p>
    <w:p w14:paraId="3A135379">
      <w:pPr>
        <w:pStyle w:val="3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</w:p>
    <w:p w14:paraId="5CFFC71C">
      <w:pPr>
        <w:rPr>
          <w:rFonts w:hint="default"/>
        </w:rPr>
      </w:pPr>
    </w:p>
    <w:p w14:paraId="2E1F68C7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5760" w:firstLineChars="18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东华门街道办事</w:t>
      </w:r>
      <w:r>
        <w:rPr>
          <w:rFonts w:hint="eastAsia" w:ascii="仿宋" w:hAnsi="仿宋" w:eastAsia="仿宋"/>
          <w:sz w:val="32"/>
          <w:szCs w:val="32"/>
          <w:lang w:eastAsia="zh-CN"/>
        </w:rPr>
        <w:t>处</w:t>
      </w:r>
    </w:p>
    <w:p w14:paraId="0CCC8A6A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5760" w:firstLineChars="18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eastAsia="仿宋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eastAsia="仿宋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eastAsia="仿宋" w:cs="Times New Roman"/>
          <w:sz w:val="32"/>
          <w:szCs w:val="32"/>
          <w:lang w:eastAsia="zh-CN"/>
        </w:rPr>
        <w:t>日</w:t>
      </w:r>
    </w:p>
    <w:p w14:paraId="01F490AF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358B1"/>
    <w:rsid w:val="05D31374"/>
    <w:rsid w:val="08EF0104"/>
    <w:rsid w:val="08F90345"/>
    <w:rsid w:val="15E8483D"/>
    <w:rsid w:val="16E358B1"/>
    <w:rsid w:val="191037B5"/>
    <w:rsid w:val="26617F28"/>
    <w:rsid w:val="27AB2FB7"/>
    <w:rsid w:val="2C580A71"/>
    <w:rsid w:val="30236344"/>
    <w:rsid w:val="34DE762D"/>
    <w:rsid w:val="3C30302D"/>
    <w:rsid w:val="3E536598"/>
    <w:rsid w:val="3E7608A9"/>
    <w:rsid w:val="3EAF7D43"/>
    <w:rsid w:val="3FB1685B"/>
    <w:rsid w:val="40FA65A7"/>
    <w:rsid w:val="4BF6743A"/>
    <w:rsid w:val="4EB51A8D"/>
    <w:rsid w:val="52D97503"/>
    <w:rsid w:val="57971EE2"/>
    <w:rsid w:val="6AD34DA5"/>
    <w:rsid w:val="6F543D97"/>
    <w:rsid w:val="76322AD2"/>
    <w:rsid w:val="7BF50C2A"/>
    <w:rsid w:val="7D7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0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unhideWhenUsed/>
    <w:qFormat/>
    <w:uiPriority w:val="99"/>
    <w:rPr>
      <w:color w:val="46464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1863</Words>
  <Characters>1916</Characters>
  <Lines>0</Lines>
  <Paragraphs>0</Paragraphs>
  <TotalTime>2</TotalTime>
  <ScaleCrop>false</ScaleCrop>
  <LinksUpToDate>false</LinksUpToDate>
  <CharactersWithSpaces>1934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2025-01-08T03:14:00Z</dcterms:created>
  <dc:creator>橙橙橙</dc:creator>
  <cp:lastModifiedBy>依然</cp:lastModifiedBy>
  <dcterms:modified xsi:type="dcterms:W3CDTF">2025-01-21T02:43:20Z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8208F729B1A44628B98131268F4DDE0B_12</vt:lpwstr>
  </property>
</Properties>
</file>