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天坛街道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年政府信息公开</w:t>
      </w:r>
    </w:p>
    <w:p>
      <w:pPr>
        <w:wordWrap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工作年度报告</w:t>
      </w:r>
    </w:p>
    <w:p>
      <w:pPr>
        <w:wordWrap/>
        <w:adjustRightInd/>
        <w:snapToGrid/>
        <w:spacing w:line="560" w:lineRule="exact"/>
        <w:jc w:val="center"/>
        <w:textAlignment w:val="auto"/>
        <w:rPr>
          <w:rFonts w:ascii="Times New Roman" w:hAnsi="Times New Roman"/>
          <w:sz w:val="44"/>
          <w:szCs w:val="44"/>
        </w:rPr>
      </w:pPr>
    </w:p>
    <w:p>
      <w:pPr>
        <w:widowControl/>
        <w:wordWrap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wordWrap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Times New Roman" w:hAnsi="Times New Roman" w:eastAsia="黑体" w:cs="宋体"/>
          <w:spacing w:val="8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宋体"/>
          <w:spacing w:val="8"/>
          <w:kern w:val="0"/>
          <w:sz w:val="32"/>
          <w:szCs w:val="32"/>
          <w:highlight w:val="none"/>
        </w:rPr>
        <w:t>一、总体情况</w:t>
      </w:r>
    </w:p>
    <w:p>
      <w:pPr>
        <w:pStyle w:val="2"/>
        <w:widowControl w:val="0"/>
        <w:numPr>
          <w:numId w:val="0"/>
        </w:numPr>
        <w:wordWrap/>
        <w:adjustRightInd/>
        <w:snapToGrid/>
        <w:spacing w:line="560" w:lineRule="exact"/>
        <w:ind w:leftChars="0" w:firstLine="672" w:firstLineChars="200"/>
        <w:textAlignment w:val="auto"/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，天坛街道严格按照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</w:rPr>
        <w:t>《政府信息公开条例》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《东城区202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年政务公开工作要点》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eastAsia="zh-CN"/>
        </w:rPr>
        <w:t>要求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，提高信息公开认识站位，加强组织领导，完善制度要求，畅通信息公开网络，及时更新政府信息公开网站的各个栏目信息公开专栏，确保政务公开常态化、制度化。</w:t>
      </w:r>
    </w:p>
    <w:p>
      <w:pPr>
        <w:pStyle w:val="2"/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leftChars="0" w:firstLine="675" w:firstLineChars="200"/>
        <w:textAlignment w:val="auto"/>
        <w:rPr>
          <w:rFonts w:hint="eastAsia" w:ascii="Times New Roman" w:hAnsi="Times New Roman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  <w:t>组织领导</w:t>
      </w:r>
    </w:p>
    <w:p>
      <w:pPr>
        <w:pStyle w:val="2"/>
        <w:widowControl w:val="0"/>
        <w:numPr>
          <w:numId w:val="0"/>
        </w:numPr>
        <w:wordWrap/>
        <w:adjustRightInd/>
        <w:snapToGrid/>
        <w:spacing w:line="560" w:lineRule="exact"/>
        <w:ind w:leftChars="0" w:firstLine="672" w:firstLineChars="200"/>
        <w:textAlignment w:val="auto"/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完善了信息公开各项规章制度，建立健全信息公开体系，实现精细化管理，用制度保障公开、促进公开。街道高度重视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</w:rPr>
        <w:t>政府信息公开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eastAsia="zh-CN"/>
        </w:rPr>
        <w:t>，形成了由主要领导亲自管理、分管领导具体落实、专人负责信息公开、各科室密切配合的工作机制，明确各方责任，确保政务公开工作任务高效完成。</w:t>
      </w:r>
    </w:p>
    <w:p>
      <w:pPr>
        <w:pStyle w:val="2"/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left="0" w:leftChars="0" w:firstLine="675" w:firstLineChars="200"/>
        <w:textAlignment w:val="auto"/>
        <w:rPr>
          <w:rFonts w:hint="eastAsia" w:ascii="Times New Roman" w:hAnsi="Times New Roman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  <w:t>主动公开</w:t>
      </w:r>
    </w:p>
    <w:p>
      <w:pPr>
        <w:wordWrap/>
        <w:adjustRightInd/>
        <w:snapToGrid/>
        <w:spacing w:line="560" w:lineRule="exact"/>
        <w:ind w:leftChars="0" w:firstLine="672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eastAsia="zh-CN"/>
        </w:rPr>
        <w:t>街道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法定主动公开内容全部落实到位、实时更新。同时，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eastAsia="zh-CN"/>
        </w:rPr>
        <w:t>聚焦群众关注的热点问题，及时公开街道会议、活动等动态及行政处罚公示等信息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本年度主动公开组织机构类的信息4条，社会救助信息33条，公开指南1条，公开全清单1条，街道工作动态31条，信息公开工作年度报告1条，其他类5条。</w:t>
      </w:r>
    </w:p>
    <w:p>
      <w:pPr>
        <w:pStyle w:val="2"/>
        <w:widowControl w:val="0"/>
        <w:wordWrap/>
        <w:adjustRightInd/>
        <w:snapToGrid/>
        <w:spacing w:line="560" w:lineRule="exact"/>
        <w:ind w:leftChars="0" w:firstLine="675" w:firstLineChars="200"/>
        <w:textAlignment w:val="auto"/>
        <w:rPr>
          <w:rFonts w:hint="eastAsia" w:ascii="Times New Roman" w:hAnsi="Times New Roman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  <w:t>（三）依申请公开</w:t>
      </w:r>
    </w:p>
    <w:p>
      <w:pPr>
        <w:pStyle w:val="6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</w:rPr>
        <w:t>年，上年结转政府信息公开申请数量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</w:rPr>
        <w:t>件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eastAsia="zh-CN"/>
        </w:rPr>
        <w:t>，街道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</w:rPr>
        <w:t>收到政府信息公开申请件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</w:rPr>
        <w:t>件，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eastAsia="zh-CN"/>
        </w:rPr>
        <w:t>为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</w:rPr>
        <w:t>自然人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eastAsia="zh-CN"/>
        </w:rPr>
        <w:t>申请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eastAsia="zh-CN"/>
        </w:rPr>
        <w:t>均已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</w:rPr>
        <w:t>在规定时限内依法答复和登记备案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1号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eastAsia="zh-CN"/>
        </w:rPr>
        <w:t>件部分信息属于可以公开范围予以公开、部分信息经检索不存在，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2号件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eastAsia="zh-CN"/>
        </w:rPr>
        <w:t>属于本机关在履行行政管理职能过程中形成的过程性信息不予公开，</w:t>
      </w:r>
      <w:r>
        <w:rPr>
          <w:rFonts w:hint="eastAsia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号件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eastAsia="zh-CN"/>
        </w:rPr>
        <w:t>信息经检索不存在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pStyle w:val="2"/>
        <w:widowControl w:val="0"/>
        <w:numPr>
          <w:numId w:val="0"/>
        </w:numPr>
        <w:wordWrap/>
        <w:adjustRightInd/>
        <w:snapToGrid/>
        <w:spacing w:line="560" w:lineRule="exact"/>
        <w:ind w:leftChars="0" w:firstLine="675" w:firstLineChars="200"/>
        <w:textAlignment w:val="auto"/>
        <w:rPr>
          <w:rFonts w:hint="eastAsia" w:ascii="Times New Roman" w:hAnsi="Times New Roman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  <w:t>（四）政府信息管理</w:t>
      </w:r>
    </w:p>
    <w:p>
      <w:pPr>
        <w:wordWrap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完善信息发布制度，严格执行信息公开保密审查制度，规范信息公开行为，</w:t>
      </w:r>
      <w:r>
        <w:rPr>
          <w:rFonts w:hint="eastAsia" w:ascii="Times New Roman" w:hAnsi="Times New Roman" w:eastAsia="仿宋_GB2312" w:cs="仿宋_GB2312"/>
          <w:spacing w:val="8"/>
          <w:kern w:val="0"/>
          <w:sz w:val="32"/>
          <w:szCs w:val="32"/>
          <w:highlight w:val="none"/>
          <w:lang w:val="en-US" w:eastAsia="zh-CN" w:bidi="ar-SA"/>
        </w:rPr>
        <w:t>按规定发布2023年政府信息公开工作年度报告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spacing w:val="8"/>
          <w:kern w:val="0"/>
          <w:sz w:val="32"/>
          <w:szCs w:val="32"/>
          <w:highlight w:val="none"/>
          <w:lang w:val="en-US" w:eastAsia="zh-CN" w:bidi="ar-SA"/>
        </w:rPr>
        <w:t>全面落实政府信息公开要求，积极主动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-SA"/>
        </w:rPr>
        <w:t>完善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-SA"/>
        </w:rPr>
        <w:t>政府网站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-SA"/>
        </w:rPr>
        <w:t>信息公开专栏，新增、更新信息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-SA"/>
        </w:rPr>
        <w:t>165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-SA"/>
        </w:rPr>
        <w:t>条</w:t>
      </w:r>
      <w:r>
        <w:rPr>
          <w:rFonts w:hint="eastAsia" w:ascii="Times New Roman" w:hAnsi="Times New Roman" w:eastAsia="仿宋_GB2312" w:cs="仿宋_GB2312"/>
          <w:spacing w:val="8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2"/>
        <w:widowControl w:val="0"/>
        <w:numPr>
          <w:numId w:val="0"/>
        </w:numPr>
        <w:wordWrap/>
        <w:adjustRightInd/>
        <w:snapToGrid/>
        <w:spacing w:line="560" w:lineRule="exact"/>
        <w:ind w:leftChars="0" w:firstLine="675" w:firstLineChars="200"/>
        <w:textAlignment w:val="auto"/>
        <w:rPr>
          <w:rFonts w:hint="eastAsia" w:ascii="Times New Roman" w:hAnsi="Times New Roman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  <w:t>（五）政府信息公开平台建设</w:t>
      </w:r>
    </w:p>
    <w:p>
      <w:pPr>
        <w:pStyle w:val="2"/>
        <w:widowControl w:val="0"/>
        <w:wordWrap/>
        <w:adjustRightInd/>
        <w:snapToGrid/>
        <w:spacing w:line="560" w:lineRule="exact"/>
        <w:ind w:firstLine="672" w:firstLineChars="200"/>
        <w:textAlignment w:val="auto"/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严格按照市区要求加强政府网站建设，积极推进政府网站集约化工作。进一步提升政府网站、政务新媒体等公开平台建设质量，切实加强内容建设，及时、准确、全面地公开、宣传好重点工作，有序回应公众关切，引导正确的社会舆论。</w:t>
      </w:r>
    </w:p>
    <w:p>
      <w:pPr>
        <w:pStyle w:val="2"/>
        <w:widowControl w:val="0"/>
        <w:numPr>
          <w:numId w:val="0"/>
        </w:numPr>
        <w:wordWrap/>
        <w:adjustRightInd/>
        <w:snapToGrid/>
        <w:spacing w:line="560" w:lineRule="exact"/>
        <w:ind w:leftChars="0" w:firstLine="675" w:firstLineChars="200"/>
        <w:textAlignment w:val="auto"/>
        <w:rPr>
          <w:rFonts w:hint="eastAsia" w:ascii="Times New Roman" w:hAnsi="Times New Roman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  <w:t>（六）教育培训</w:t>
      </w:r>
    </w:p>
    <w:p>
      <w:pPr>
        <w:pStyle w:val="2"/>
        <w:widowControl w:val="0"/>
        <w:wordWrap/>
        <w:adjustRightInd/>
        <w:snapToGrid/>
        <w:spacing w:line="560" w:lineRule="exact"/>
        <w:ind w:firstLine="672" w:firstLineChars="200"/>
        <w:textAlignment w:val="auto"/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围绕政务公开工作要求，不断加强机关内部信息公开条例、工作要点、申请流程等业务培训。各部门结合政务公开工作，认真学习贯彻《政府信息公开条例》。</w:t>
      </w:r>
    </w:p>
    <w:p>
      <w:pPr>
        <w:pStyle w:val="2"/>
        <w:widowControl w:val="0"/>
        <w:wordWrap/>
        <w:adjustRightInd/>
        <w:snapToGrid/>
        <w:spacing w:line="560" w:lineRule="exact"/>
        <w:ind w:leftChars="0" w:firstLine="675" w:firstLineChars="200"/>
        <w:textAlignment w:val="auto"/>
        <w:rPr>
          <w:rFonts w:hint="eastAsia" w:ascii="Times New Roman" w:hAnsi="Times New Roman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spacing w:val="8"/>
          <w:kern w:val="0"/>
          <w:sz w:val="32"/>
          <w:szCs w:val="32"/>
          <w:highlight w:val="none"/>
          <w:lang w:eastAsia="zh-CN"/>
        </w:rPr>
        <w:t>（七）监督保障</w:t>
      </w:r>
    </w:p>
    <w:p>
      <w:pPr>
        <w:pStyle w:val="2"/>
        <w:wordWrap/>
        <w:adjustRightInd/>
        <w:snapToGrid/>
        <w:spacing w:line="560" w:lineRule="exact"/>
        <w:ind w:firstLine="672" w:firstLineChars="200"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按照有关规定，结合街道工作实际，不断完善政府信息公开保密审查制度，严格落实信息公开三级审核制度，秉承“谁审核、谁公开、谁负责”原则，明确责任主体，由信息产生部门初定公开属性，经主管领导对公开属性和保密性质审核后，确定公开属性，依情况予以公开，本年度未发生泄密事件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tbl>
      <w:tblPr>
        <w:tblStyle w:val="11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>
      <w:pPr>
        <w:pStyle w:val="2"/>
        <w:numPr>
          <w:numId w:val="0"/>
        </w:numPr>
        <w:rPr>
          <w:rFonts w:hint="eastAsia"/>
        </w:rPr>
      </w:pPr>
    </w:p>
    <w:p>
      <w:pPr>
        <w:pStyle w:val="2"/>
        <w:numPr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numPr>
          <w:ilvl w:val="0"/>
          <w:numId w:val="2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11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1  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>
      <w:pPr>
        <w:pStyle w:val="2"/>
        <w:numPr>
          <w:numId w:val="0"/>
        </w:numPr>
        <w:ind w:leftChars="200"/>
        <w:rPr>
          <w:rFonts w:hint="eastAsia"/>
        </w:rPr>
      </w:pPr>
    </w:p>
    <w:p>
      <w:pPr>
        <w:pStyle w:val="2"/>
        <w:numPr>
          <w:numId w:val="0"/>
        </w:numPr>
        <w:ind w:leftChars="200"/>
        <w:rPr>
          <w:rFonts w:hint="eastAsia"/>
        </w:rPr>
      </w:pPr>
      <w:r>
        <w:rPr>
          <w:rFonts w:hint="eastAsia"/>
        </w:rPr>
        <w:br/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11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wordWrap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6"/>
        <w:widowControl/>
        <w:wordWrap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存在的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主要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问题：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一是公开的形式上还需进一步创新，公开的把关上还需进一步严格。二是未熟练掌握依申请公开相关法律条例及流程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</w:p>
    <w:p>
      <w:pPr>
        <w:widowControl/>
        <w:wordWrap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将采取以下措施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进行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改进：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一是积极参加上级组织开展的宣传培训，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丰富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政府信息公开内容，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定期更新维护，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加强错敏字等信息内容审核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加强《政府信息公开条例》关于依申请公开有关规定的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学习，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不断提高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业务素质和能力。</w:t>
      </w:r>
    </w:p>
    <w:p>
      <w:pPr>
        <w:widowControl/>
        <w:wordWrap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wordWrap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发出收费通知的件数和总金额以及实际收取的总金额均为0。</w:t>
      </w:r>
    </w:p>
    <w:p/>
    <w:p/>
    <w:p>
      <w:pPr>
        <w:rPr>
          <w:rFonts w:hint="eastAsia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9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38049490">
    <w:nsid w:val="2011FBD2"/>
    <w:multiLevelType w:val="singleLevel"/>
    <w:tmpl w:val="2011FBD2"/>
    <w:lvl w:ilvl="0" w:tentative="1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177262903">
    <w:nsid w:val="F8FBF937"/>
    <w:multiLevelType w:val="singleLevel"/>
    <w:tmpl w:val="F8FBF937"/>
    <w:lvl w:ilvl="0" w:tentative="1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38049490"/>
  </w:num>
  <w:num w:numId="2">
    <w:abstractNumId w:val="41772629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D0041C"/>
    <w:rsid w:val="01E24027"/>
    <w:rsid w:val="02B73E03"/>
    <w:rsid w:val="02C30602"/>
    <w:rsid w:val="02FD6B22"/>
    <w:rsid w:val="03450C58"/>
    <w:rsid w:val="039437CF"/>
    <w:rsid w:val="03AA3F18"/>
    <w:rsid w:val="0444100C"/>
    <w:rsid w:val="04B871DC"/>
    <w:rsid w:val="04C523E5"/>
    <w:rsid w:val="05927F9F"/>
    <w:rsid w:val="061043AF"/>
    <w:rsid w:val="063D400F"/>
    <w:rsid w:val="07173589"/>
    <w:rsid w:val="07DA27E8"/>
    <w:rsid w:val="08365ACF"/>
    <w:rsid w:val="085B374C"/>
    <w:rsid w:val="09BA5C05"/>
    <w:rsid w:val="0A5449BD"/>
    <w:rsid w:val="0B5578DA"/>
    <w:rsid w:val="0B6017B9"/>
    <w:rsid w:val="0B692FC1"/>
    <w:rsid w:val="0CAA630A"/>
    <w:rsid w:val="0DA57C27"/>
    <w:rsid w:val="0DB23146"/>
    <w:rsid w:val="0EE37632"/>
    <w:rsid w:val="0F000724"/>
    <w:rsid w:val="101D31D2"/>
    <w:rsid w:val="106954FF"/>
    <w:rsid w:val="10F70AE6"/>
    <w:rsid w:val="11935B60"/>
    <w:rsid w:val="11EC0FF2"/>
    <w:rsid w:val="11EF7886"/>
    <w:rsid w:val="123654D6"/>
    <w:rsid w:val="12540146"/>
    <w:rsid w:val="125664A3"/>
    <w:rsid w:val="129E5C79"/>
    <w:rsid w:val="12DA4F7E"/>
    <w:rsid w:val="15042E03"/>
    <w:rsid w:val="153835CE"/>
    <w:rsid w:val="16176ECF"/>
    <w:rsid w:val="168C2214"/>
    <w:rsid w:val="174C48BF"/>
    <w:rsid w:val="18195577"/>
    <w:rsid w:val="186F5E9F"/>
    <w:rsid w:val="1980056C"/>
    <w:rsid w:val="19B74C1D"/>
    <w:rsid w:val="1AC862F7"/>
    <w:rsid w:val="1B8A1880"/>
    <w:rsid w:val="1C222D36"/>
    <w:rsid w:val="1C24272C"/>
    <w:rsid w:val="1C47275C"/>
    <w:rsid w:val="1C850733"/>
    <w:rsid w:val="1D1A68B3"/>
    <w:rsid w:val="1D7031CA"/>
    <w:rsid w:val="1D70720F"/>
    <w:rsid w:val="1DBE6FEE"/>
    <w:rsid w:val="1DE37776"/>
    <w:rsid w:val="1E772BA2"/>
    <w:rsid w:val="1F036F01"/>
    <w:rsid w:val="1FD01E46"/>
    <w:rsid w:val="200B59E9"/>
    <w:rsid w:val="2039313C"/>
    <w:rsid w:val="206F17A1"/>
    <w:rsid w:val="20CC3783"/>
    <w:rsid w:val="20F4351F"/>
    <w:rsid w:val="21EE06C0"/>
    <w:rsid w:val="220E5FDF"/>
    <w:rsid w:val="23B53941"/>
    <w:rsid w:val="240F5BD6"/>
    <w:rsid w:val="249F4D4A"/>
    <w:rsid w:val="2583684B"/>
    <w:rsid w:val="25C56969"/>
    <w:rsid w:val="264E23E5"/>
    <w:rsid w:val="26B92096"/>
    <w:rsid w:val="26B9408A"/>
    <w:rsid w:val="26DC5ACE"/>
    <w:rsid w:val="27397DCA"/>
    <w:rsid w:val="275C569C"/>
    <w:rsid w:val="28EC21AD"/>
    <w:rsid w:val="29284F7F"/>
    <w:rsid w:val="293D7A75"/>
    <w:rsid w:val="2AA7627A"/>
    <w:rsid w:val="2AD5692B"/>
    <w:rsid w:val="2B222565"/>
    <w:rsid w:val="2B97412D"/>
    <w:rsid w:val="2B9844FA"/>
    <w:rsid w:val="2C6D03A5"/>
    <w:rsid w:val="2CFF55A4"/>
    <w:rsid w:val="2D047420"/>
    <w:rsid w:val="2D35073C"/>
    <w:rsid w:val="2F2B43BA"/>
    <w:rsid w:val="2F832259"/>
    <w:rsid w:val="2FE41725"/>
    <w:rsid w:val="30806B9E"/>
    <w:rsid w:val="316B1BA5"/>
    <w:rsid w:val="33A10D3B"/>
    <w:rsid w:val="342B71DE"/>
    <w:rsid w:val="34B11EE1"/>
    <w:rsid w:val="35E04767"/>
    <w:rsid w:val="36996009"/>
    <w:rsid w:val="36EC2CAF"/>
    <w:rsid w:val="36FA629A"/>
    <w:rsid w:val="37242B85"/>
    <w:rsid w:val="37342E1F"/>
    <w:rsid w:val="379F3AAA"/>
    <w:rsid w:val="37B82A79"/>
    <w:rsid w:val="37D261A1"/>
    <w:rsid w:val="38477332"/>
    <w:rsid w:val="38D47DA9"/>
    <w:rsid w:val="39C84EDD"/>
    <w:rsid w:val="3A15682C"/>
    <w:rsid w:val="3A3D4E9C"/>
    <w:rsid w:val="3BA06262"/>
    <w:rsid w:val="3BB75CEC"/>
    <w:rsid w:val="3C8342D6"/>
    <w:rsid w:val="3D0059A4"/>
    <w:rsid w:val="3DB50886"/>
    <w:rsid w:val="3EA31828"/>
    <w:rsid w:val="3F8024B0"/>
    <w:rsid w:val="3F827426"/>
    <w:rsid w:val="408A4515"/>
    <w:rsid w:val="41336AA7"/>
    <w:rsid w:val="41A82BB0"/>
    <w:rsid w:val="427A6764"/>
    <w:rsid w:val="43373AC5"/>
    <w:rsid w:val="436C41A3"/>
    <w:rsid w:val="43FC033B"/>
    <w:rsid w:val="44DA22B5"/>
    <w:rsid w:val="44F32561"/>
    <w:rsid w:val="45093299"/>
    <w:rsid w:val="464365F4"/>
    <w:rsid w:val="46957D4E"/>
    <w:rsid w:val="46E37DAC"/>
    <w:rsid w:val="472D6E53"/>
    <w:rsid w:val="47B972B3"/>
    <w:rsid w:val="480E3A11"/>
    <w:rsid w:val="48271EDE"/>
    <w:rsid w:val="48325FEC"/>
    <w:rsid w:val="48624CD1"/>
    <w:rsid w:val="48E83C65"/>
    <w:rsid w:val="4AA71688"/>
    <w:rsid w:val="4B1D1510"/>
    <w:rsid w:val="4C6F71B7"/>
    <w:rsid w:val="4CB06383"/>
    <w:rsid w:val="4D132ED9"/>
    <w:rsid w:val="4DA935F6"/>
    <w:rsid w:val="4DE56A60"/>
    <w:rsid w:val="4E612BB9"/>
    <w:rsid w:val="4E7735C7"/>
    <w:rsid w:val="4E9F476F"/>
    <w:rsid w:val="50621E6E"/>
    <w:rsid w:val="509F731F"/>
    <w:rsid w:val="516F048E"/>
    <w:rsid w:val="51FD0EA1"/>
    <w:rsid w:val="522D780B"/>
    <w:rsid w:val="52D43103"/>
    <w:rsid w:val="534D044E"/>
    <w:rsid w:val="53593E23"/>
    <w:rsid w:val="55147AAA"/>
    <w:rsid w:val="554524F7"/>
    <w:rsid w:val="55803C03"/>
    <w:rsid w:val="55805A3F"/>
    <w:rsid w:val="55D92223"/>
    <w:rsid w:val="55EA6E40"/>
    <w:rsid w:val="56514DCC"/>
    <w:rsid w:val="573D6D9B"/>
    <w:rsid w:val="57A713D9"/>
    <w:rsid w:val="58DA23E3"/>
    <w:rsid w:val="58E20764"/>
    <w:rsid w:val="59FA0BA4"/>
    <w:rsid w:val="5A4F6A26"/>
    <w:rsid w:val="5B444960"/>
    <w:rsid w:val="5C85343F"/>
    <w:rsid w:val="5CB14E9A"/>
    <w:rsid w:val="5E011730"/>
    <w:rsid w:val="5EC805F8"/>
    <w:rsid w:val="5F9F61D8"/>
    <w:rsid w:val="5FB55714"/>
    <w:rsid w:val="5FBC31C5"/>
    <w:rsid w:val="5FC106AB"/>
    <w:rsid w:val="5FD71DF3"/>
    <w:rsid w:val="60EA3D13"/>
    <w:rsid w:val="60F2511B"/>
    <w:rsid w:val="61694B87"/>
    <w:rsid w:val="627B482F"/>
    <w:rsid w:val="62E374C9"/>
    <w:rsid w:val="633C39DB"/>
    <w:rsid w:val="63847E28"/>
    <w:rsid w:val="64690D42"/>
    <w:rsid w:val="64972B08"/>
    <w:rsid w:val="64AF7D15"/>
    <w:rsid w:val="64F65DC1"/>
    <w:rsid w:val="65432745"/>
    <w:rsid w:val="658D49CE"/>
    <w:rsid w:val="65EA1BF6"/>
    <w:rsid w:val="66B81C52"/>
    <w:rsid w:val="66D7084A"/>
    <w:rsid w:val="67037D1B"/>
    <w:rsid w:val="671C17CC"/>
    <w:rsid w:val="674C7846"/>
    <w:rsid w:val="67716B82"/>
    <w:rsid w:val="683F3FB4"/>
    <w:rsid w:val="68917716"/>
    <w:rsid w:val="68B1527B"/>
    <w:rsid w:val="698D77DD"/>
    <w:rsid w:val="69D46E61"/>
    <w:rsid w:val="6A6F7966"/>
    <w:rsid w:val="6B4C7395"/>
    <w:rsid w:val="6BB605A4"/>
    <w:rsid w:val="6BD1009F"/>
    <w:rsid w:val="6C256FC7"/>
    <w:rsid w:val="6C835D54"/>
    <w:rsid w:val="6C961526"/>
    <w:rsid w:val="6D0E597B"/>
    <w:rsid w:val="6DC72BAB"/>
    <w:rsid w:val="6E8C5810"/>
    <w:rsid w:val="6F2A40F6"/>
    <w:rsid w:val="6F752E3A"/>
    <w:rsid w:val="6FBD1CF4"/>
    <w:rsid w:val="70222C83"/>
    <w:rsid w:val="7124620B"/>
    <w:rsid w:val="71562BA6"/>
    <w:rsid w:val="718128D5"/>
    <w:rsid w:val="719F284F"/>
    <w:rsid w:val="71B5409B"/>
    <w:rsid w:val="7355357D"/>
    <w:rsid w:val="74610F82"/>
    <w:rsid w:val="75342D58"/>
    <w:rsid w:val="769A1010"/>
    <w:rsid w:val="76D21049"/>
    <w:rsid w:val="77776320"/>
    <w:rsid w:val="77921B28"/>
    <w:rsid w:val="789D3289"/>
    <w:rsid w:val="78B549A5"/>
    <w:rsid w:val="79DB1473"/>
    <w:rsid w:val="79EA0AFF"/>
    <w:rsid w:val="7AA647C7"/>
    <w:rsid w:val="7BDF75D6"/>
    <w:rsid w:val="7C144E0A"/>
    <w:rsid w:val="7C666463"/>
    <w:rsid w:val="7C8E6D8A"/>
    <w:rsid w:val="7E0F0099"/>
    <w:rsid w:val="7EA37663"/>
    <w:rsid w:val="7F4B253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unhideWhenUsed/>
    <w:qFormat/>
    <w:uiPriority w:val="1"/>
    <w:rPr>
      <w:rFonts w:ascii="Tahoma" w:hAnsi="Tahoma"/>
      <w:sz w:val="24"/>
      <w:szCs w:val="20"/>
    </w:rPr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8">
    <w:name w:val=" Char Char1"/>
    <w:basedOn w:val="1"/>
    <w:link w:val="7"/>
    <w:qFormat/>
    <w:uiPriority w:val="0"/>
    <w:rPr>
      <w:rFonts w:ascii="Tahoma" w:hAnsi="Tahoma"/>
      <w:sz w:val="24"/>
      <w:szCs w:val="20"/>
    </w:rPr>
  </w:style>
  <w:style w:type="character" w:styleId="9">
    <w:name w:val="page number"/>
    <w:basedOn w:val="7"/>
    <w:unhideWhenUsed/>
    <w:qFormat/>
    <w:uiPriority w:val="99"/>
    <w:rPr/>
  </w:style>
  <w:style w:type="character" w:styleId="10">
    <w:name w:val="Hyperlink"/>
    <w:basedOn w:val="7"/>
    <w:unhideWhenUsed/>
    <w:qFormat/>
    <w:uiPriority w:val="0"/>
    <w:rPr>
      <w:color w:val="000000"/>
      <w:u w:val="none"/>
    </w:rPr>
  </w:style>
  <w:style w:type="table" w:styleId="12">
    <w:name w:val="Table Grid"/>
    <w:basedOn w:val="11"/>
    <w:qFormat/>
    <w:uiPriority w:val="59"/>
    <w:pPr/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3">
    <w:name w:val="_Style 6"/>
    <w:basedOn w:val="1"/>
    <w:qFormat/>
    <w:uiPriority w:val="0"/>
    <w:rPr>
      <w:szCs w:val="20"/>
    </w:rPr>
  </w:style>
  <w:style w:type="paragraph" w:customStyle="1" w:styleId="14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155</Words>
  <Characters>888</Characters>
  <Lines>7</Lines>
  <Paragraphs>2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蒋宛希</cp:lastModifiedBy>
  <cp:lastPrinted>2024-01-05T02:36:00Z</cp:lastPrinted>
  <dcterms:modified xsi:type="dcterms:W3CDTF">2024-01-09T03:09:55Z</dcterms:modified>
  <dc:title>关于抓紧整改政务新媒体的通知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