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color w:val="auto"/>
          <w:sz w:val="44"/>
          <w:szCs w:val="44"/>
        </w:rPr>
      </w:pPr>
    </w:p>
    <w:p>
      <w:pPr>
        <w:spacing w:line="5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东花市街道2023年政府信息公开</w:t>
      </w:r>
    </w:p>
    <w:p>
      <w:pPr>
        <w:spacing w:line="5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工作年度报告</w:t>
      </w:r>
    </w:p>
    <w:p>
      <w:pPr>
        <w:spacing w:line="560" w:lineRule="exact"/>
        <w:jc w:val="center"/>
        <w:rPr>
          <w:color w:val="auto"/>
          <w:sz w:val="44"/>
          <w:szCs w:val="44"/>
        </w:rPr>
      </w:pPr>
    </w:p>
    <w:p>
      <w:pPr>
        <w:widowControl/>
        <w:spacing w:line="560" w:lineRule="exact"/>
        <w:jc w:val="left"/>
        <w:rPr>
          <w:rFonts w:ascii="仿宋_GB2312" w:hAnsi="宋体" w:eastAsia="仿宋_GB2312" w:cs="宋体"/>
          <w:color w:val="auto"/>
          <w:spacing w:val="8"/>
          <w:kern w:val="0"/>
          <w:sz w:val="32"/>
          <w:szCs w:val="32"/>
        </w:rPr>
      </w:pPr>
      <w:r>
        <w:rPr>
          <w:rFonts w:hint="eastAsia" w:ascii="微软雅黑" w:hAnsi="微软雅黑" w:eastAsia="微软雅黑" w:cs="宋体"/>
          <w:color w:val="auto"/>
          <w:kern w:val="0"/>
          <w:sz w:val="24"/>
        </w:rPr>
        <w:t>　</w:t>
      </w:r>
      <w:r>
        <w:rPr>
          <w:rFonts w:hint="eastAsia" w:ascii="微软雅黑" w:hAnsi="微软雅黑" w:eastAsia="微软雅黑" w:cs="宋体"/>
          <w:color w:val="auto"/>
          <w:kern w:val="0"/>
          <w:sz w:val="32"/>
          <w:szCs w:val="32"/>
        </w:rPr>
        <w:t xml:space="preserve"> </w:t>
      </w:r>
      <w:r>
        <w:rPr>
          <w:rFonts w:ascii="微软雅黑" w:hAnsi="微软雅黑" w:eastAsia="微软雅黑" w:cs="宋体"/>
          <w:color w:val="auto"/>
          <w:kern w:val="0"/>
          <w:sz w:val="32"/>
          <w:szCs w:val="32"/>
        </w:rPr>
        <w:t xml:space="preserve">  </w:t>
      </w:r>
      <w:r>
        <w:rPr>
          <w:rFonts w:hint="eastAsia" w:ascii="仿宋_GB2312" w:hAnsi="宋体" w:eastAsia="仿宋_GB2312" w:cs="宋体"/>
          <w:color w:val="auto"/>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color w:val="auto"/>
          <w:spacing w:val="8"/>
          <w:kern w:val="0"/>
          <w:sz w:val="32"/>
          <w:szCs w:val="32"/>
        </w:rPr>
      </w:pPr>
      <w:r>
        <w:rPr>
          <w:rFonts w:ascii="黑体" w:hAnsi="黑体" w:eastAsia="黑体" w:cs="宋体"/>
          <w:color w:val="auto"/>
          <w:spacing w:val="8"/>
          <w:kern w:val="0"/>
          <w:sz w:val="32"/>
          <w:szCs w:val="32"/>
        </w:rPr>
        <w:t>一、总体情况</w:t>
      </w:r>
    </w:p>
    <w:p>
      <w:pPr>
        <w:widowControl/>
        <w:spacing w:line="560" w:lineRule="exact"/>
        <w:ind w:firstLine="675"/>
        <w:jc w:val="left"/>
        <w:rPr>
          <w:rFonts w:hint="eastAsia" w:eastAsia="仿宋_GB2312"/>
          <w:color w:val="auto"/>
          <w:spacing w:val="8"/>
          <w:kern w:val="0"/>
          <w:sz w:val="32"/>
          <w:szCs w:val="32"/>
        </w:rPr>
      </w:pPr>
      <w:r>
        <w:rPr>
          <w:rFonts w:eastAsia="仿宋_GB2312"/>
          <w:color w:val="auto"/>
          <w:spacing w:val="8"/>
          <w:kern w:val="0"/>
          <w:sz w:val="32"/>
          <w:szCs w:val="32"/>
        </w:rPr>
        <w:t>2023年，东花市街道认真贯彻落实《中华人民共和国政府信息公开条例》要求，结合《北京市东城区2023年政务公开工作要点》</w:t>
      </w:r>
      <w:r>
        <w:rPr>
          <w:rFonts w:hint="eastAsia" w:eastAsia="仿宋_GB2312"/>
          <w:color w:val="auto"/>
          <w:spacing w:val="8"/>
          <w:kern w:val="0"/>
          <w:sz w:val="32"/>
          <w:szCs w:val="32"/>
        </w:rPr>
        <w:t>，由街道综合办公室牵头政府信息公开工作，</w:t>
      </w:r>
      <w:r>
        <w:rPr>
          <w:rFonts w:hint="eastAsia" w:eastAsia="仿宋_GB2312"/>
          <w:color w:val="auto"/>
          <w:spacing w:val="8"/>
          <w:kern w:val="0"/>
          <w:sz w:val="32"/>
          <w:szCs w:val="32"/>
          <w:lang w:eastAsia="zh-CN"/>
        </w:rPr>
        <w:t>并</w:t>
      </w:r>
      <w:r>
        <w:rPr>
          <w:rFonts w:hint="eastAsia" w:eastAsia="仿宋_GB2312"/>
          <w:color w:val="auto"/>
          <w:spacing w:val="8"/>
          <w:kern w:val="0"/>
          <w:sz w:val="32"/>
          <w:szCs w:val="32"/>
        </w:rPr>
        <w:t>将</w:t>
      </w:r>
      <w:r>
        <w:rPr>
          <w:rFonts w:hint="eastAsia" w:eastAsia="仿宋_GB2312"/>
          <w:color w:val="auto"/>
          <w:spacing w:val="8"/>
          <w:kern w:val="0"/>
          <w:sz w:val="32"/>
          <w:szCs w:val="32"/>
          <w:lang w:eastAsia="zh-CN"/>
        </w:rPr>
        <w:t>此项</w:t>
      </w:r>
      <w:r>
        <w:rPr>
          <w:rFonts w:hint="eastAsia" w:eastAsia="仿宋_GB2312"/>
          <w:color w:val="auto"/>
          <w:spacing w:val="8"/>
          <w:kern w:val="0"/>
          <w:sz w:val="32"/>
          <w:szCs w:val="32"/>
        </w:rPr>
        <w:t>工作明确列入处级领导分工，确保各项工作组织到位、落实到位。街道主要领导多次听取政府信息公开工作情况汇报，确保政府信息公开工作具有强有力的组织保障。</w:t>
      </w:r>
    </w:p>
    <w:p>
      <w:pPr>
        <w:widowControl/>
        <w:spacing w:line="560" w:lineRule="exact"/>
        <w:ind w:firstLine="675"/>
        <w:jc w:val="left"/>
        <w:rPr>
          <w:rFonts w:eastAsia="仿宋_GB2312"/>
          <w:color w:val="auto"/>
          <w:spacing w:val="8"/>
          <w:kern w:val="0"/>
          <w:sz w:val="32"/>
          <w:szCs w:val="32"/>
        </w:rPr>
      </w:pPr>
      <w:r>
        <w:rPr>
          <w:rFonts w:hint="eastAsia" w:eastAsia="仿宋_GB2312"/>
          <w:color w:val="auto"/>
          <w:spacing w:val="8"/>
          <w:kern w:val="0"/>
          <w:sz w:val="32"/>
          <w:szCs w:val="32"/>
        </w:rPr>
        <w:t>具体情况如下：</w:t>
      </w:r>
    </w:p>
    <w:p>
      <w:pPr>
        <w:widowControl/>
        <w:spacing w:line="560" w:lineRule="exact"/>
        <w:ind w:firstLine="675"/>
        <w:jc w:val="left"/>
        <w:rPr>
          <w:rFonts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rPr>
        <w:t>（一）主动公开情况</w:t>
      </w:r>
    </w:p>
    <w:p>
      <w:pPr>
        <w:widowControl/>
        <w:spacing w:line="560" w:lineRule="exact"/>
        <w:ind w:firstLine="675"/>
        <w:jc w:val="left"/>
        <w:rPr>
          <w:rFonts w:eastAsia="仿宋_GB2312"/>
          <w:color w:val="auto"/>
          <w:spacing w:val="8"/>
          <w:kern w:val="0"/>
          <w:sz w:val="32"/>
          <w:szCs w:val="32"/>
        </w:rPr>
      </w:pPr>
      <w:r>
        <w:rPr>
          <w:rFonts w:hint="eastAsia" w:ascii="仿宋_GB2312" w:hAnsi="宋体" w:eastAsia="仿宋_GB2312" w:cs="宋体"/>
          <w:color w:val="auto"/>
          <w:spacing w:val="8"/>
          <w:kern w:val="0"/>
          <w:sz w:val="32"/>
          <w:szCs w:val="32"/>
        </w:rPr>
        <w:t>东花市街道坚持“以公开为常态、不公开为例外”原则，高度重视政府信息公开工作，进一步推进政府信息公开工作有序、有效开展，切实保障居民群众的知情权和监督权。通过“北京市东城区人民政府门户网站”及时更新机关职能、机构设置、办公地址、办公时间、联系方式、负责人姓名等信息。</w:t>
      </w:r>
      <w:r>
        <w:rPr>
          <w:rFonts w:eastAsia="仿宋_GB2312"/>
          <w:color w:val="auto"/>
          <w:spacing w:val="8"/>
          <w:kern w:val="0"/>
          <w:sz w:val="32"/>
          <w:szCs w:val="32"/>
        </w:rPr>
        <w:t>2023年</w:t>
      </w:r>
      <w:r>
        <w:rPr>
          <w:rFonts w:hint="eastAsia" w:ascii="仿宋_GB2312" w:hAnsi="宋体" w:eastAsia="仿宋_GB2312" w:cs="宋体"/>
          <w:color w:val="auto"/>
          <w:spacing w:val="8"/>
          <w:kern w:val="0"/>
          <w:sz w:val="32"/>
          <w:szCs w:val="32"/>
        </w:rPr>
        <w:t>政府网站主动公开政府</w:t>
      </w:r>
      <w:r>
        <w:rPr>
          <w:rFonts w:eastAsia="仿宋_GB2312"/>
          <w:color w:val="auto"/>
          <w:spacing w:val="8"/>
          <w:kern w:val="0"/>
          <w:sz w:val="32"/>
          <w:szCs w:val="32"/>
        </w:rPr>
        <w:t>信息10</w:t>
      </w:r>
      <w:r>
        <w:rPr>
          <w:rFonts w:hint="eastAsia" w:eastAsia="仿宋_GB2312"/>
          <w:color w:val="auto"/>
          <w:spacing w:val="8"/>
          <w:kern w:val="0"/>
          <w:sz w:val="32"/>
          <w:szCs w:val="32"/>
          <w:lang w:val="en-US" w:eastAsia="zh-CN"/>
        </w:rPr>
        <w:t>9</w:t>
      </w:r>
      <w:r>
        <w:rPr>
          <w:rFonts w:eastAsia="仿宋_GB2312"/>
          <w:color w:val="auto"/>
          <w:spacing w:val="8"/>
          <w:kern w:val="0"/>
          <w:sz w:val="32"/>
          <w:szCs w:val="32"/>
        </w:rPr>
        <w:t>条，包括城市管理、社区建设、便民服务、文化建设、平安建设、服务企业等各领域。严格落实行政处罚、行政许可“双公示”制度，及时更新行政执法公示栏目行政处罚信息。在街道政务微博微信公开信息分别为474条和430条。</w:t>
      </w:r>
    </w:p>
    <w:p>
      <w:pPr>
        <w:widowControl/>
        <w:spacing w:line="560" w:lineRule="exact"/>
        <w:ind w:firstLine="675"/>
        <w:jc w:val="left"/>
        <w:rPr>
          <w:rFonts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rPr>
        <w:t>（二）依申请公开工作情况</w:t>
      </w:r>
    </w:p>
    <w:p>
      <w:pPr>
        <w:widowControl/>
        <w:spacing w:line="560" w:lineRule="exact"/>
        <w:ind w:firstLine="672" w:firstLineChars="200"/>
        <w:jc w:val="left"/>
        <w:rPr>
          <w:rFonts w:ascii="仿宋_GB2312" w:hAnsi="宋体" w:eastAsia="仿宋_GB2312" w:cs="宋体"/>
          <w:color w:val="auto"/>
          <w:spacing w:val="8"/>
          <w:kern w:val="0"/>
          <w:sz w:val="32"/>
          <w:szCs w:val="32"/>
        </w:rPr>
      </w:pPr>
      <w:r>
        <w:rPr>
          <w:rFonts w:eastAsia="仿宋_GB2312"/>
          <w:color w:val="auto"/>
          <w:spacing w:val="8"/>
          <w:kern w:val="0"/>
          <w:sz w:val="32"/>
          <w:szCs w:val="32"/>
        </w:rPr>
        <w:t>2023年通过信函、邮箱等方式新受理政府信息公开申请2件，申请人类型为自然人。根据政府信息公开有关规定， “本机关不掌握相关政府信息”的</w:t>
      </w:r>
      <w:r>
        <w:rPr>
          <w:rFonts w:hint="eastAsia" w:eastAsia="仿宋_GB2312"/>
          <w:color w:val="auto"/>
          <w:spacing w:val="8"/>
          <w:kern w:val="0"/>
          <w:sz w:val="32"/>
          <w:szCs w:val="32"/>
          <w:lang w:val="en-US" w:eastAsia="zh-CN"/>
        </w:rPr>
        <w:t>2</w:t>
      </w:r>
      <w:r>
        <w:rPr>
          <w:rFonts w:eastAsia="仿宋_GB2312"/>
          <w:color w:val="auto"/>
          <w:spacing w:val="8"/>
          <w:kern w:val="0"/>
          <w:sz w:val="32"/>
          <w:szCs w:val="32"/>
        </w:rPr>
        <w:t>件，以上政府信息公开申请均按照《政府信息公开条例》要求在法定时限内给予了答复。</w:t>
      </w:r>
    </w:p>
    <w:p>
      <w:pPr>
        <w:widowControl/>
        <w:spacing w:line="560" w:lineRule="exact"/>
        <w:ind w:firstLine="675"/>
        <w:jc w:val="left"/>
        <w:rPr>
          <w:rFonts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rPr>
        <w:t>（三）政府信息公开平台建设情况</w:t>
      </w:r>
    </w:p>
    <w:p>
      <w:pPr>
        <w:widowControl/>
        <w:spacing w:line="560" w:lineRule="exact"/>
        <w:ind w:firstLine="675"/>
        <w:jc w:val="left"/>
        <w:rPr>
          <w:rFonts w:hint="eastAsia"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highlight w:val="none"/>
        </w:rPr>
        <w:t>本年度我街道高度重视政府信息公开</w:t>
      </w:r>
      <w:r>
        <w:rPr>
          <w:rFonts w:hint="eastAsia" w:ascii="仿宋_GB2312" w:hAnsi="宋体" w:eastAsia="仿宋_GB2312" w:cs="宋体"/>
          <w:color w:val="auto"/>
          <w:spacing w:val="8"/>
          <w:kern w:val="0"/>
          <w:sz w:val="32"/>
          <w:szCs w:val="32"/>
          <w:highlight w:val="none"/>
          <w:lang w:eastAsia="zh-CN"/>
        </w:rPr>
        <w:t>信息的更新维护</w:t>
      </w:r>
      <w:r>
        <w:rPr>
          <w:rFonts w:hint="eastAsia" w:ascii="仿宋_GB2312" w:hAnsi="宋体" w:eastAsia="仿宋_GB2312" w:cs="宋体"/>
          <w:color w:val="auto"/>
          <w:spacing w:val="8"/>
          <w:kern w:val="0"/>
          <w:sz w:val="32"/>
          <w:szCs w:val="32"/>
          <w:highlight w:val="none"/>
        </w:rPr>
        <w:t>，</w:t>
      </w:r>
      <w:r>
        <w:rPr>
          <w:rFonts w:hint="eastAsia" w:ascii="仿宋_GB2312" w:hAnsi="宋体" w:eastAsia="仿宋_GB2312" w:cs="宋体"/>
          <w:color w:val="auto"/>
          <w:spacing w:val="8"/>
          <w:kern w:val="0"/>
          <w:sz w:val="32"/>
          <w:szCs w:val="32"/>
        </w:rPr>
        <w:t>多次梳理信息公开全清单、规范信息公开工作流程，由专人负责政府信息公开专栏和数字东城网站运营及维护，动态监测网站情况。对拟公开的</w:t>
      </w:r>
      <w:r>
        <w:rPr>
          <w:rFonts w:hint="eastAsia" w:ascii="仿宋_GB2312" w:hAnsi="宋体" w:eastAsia="仿宋_GB2312" w:cs="宋体"/>
          <w:color w:val="auto"/>
          <w:spacing w:val="8"/>
          <w:kern w:val="0"/>
          <w:sz w:val="32"/>
          <w:szCs w:val="32"/>
          <w:lang w:eastAsia="zh-CN"/>
        </w:rPr>
        <w:t>政务</w:t>
      </w:r>
      <w:r>
        <w:rPr>
          <w:rFonts w:hint="eastAsia" w:ascii="仿宋_GB2312" w:hAnsi="宋体" w:eastAsia="仿宋_GB2312" w:cs="宋体"/>
          <w:color w:val="auto"/>
          <w:spacing w:val="8"/>
          <w:kern w:val="0"/>
          <w:sz w:val="32"/>
          <w:szCs w:val="32"/>
        </w:rPr>
        <w:t>信息</w:t>
      </w:r>
      <w:r>
        <w:rPr>
          <w:rFonts w:hint="eastAsia" w:ascii="仿宋_GB2312" w:hAnsi="宋体" w:eastAsia="仿宋_GB2312" w:cs="宋体"/>
          <w:color w:val="auto"/>
          <w:spacing w:val="8"/>
          <w:kern w:val="0"/>
          <w:sz w:val="32"/>
          <w:szCs w:val="32"/>
          <w:lang w:eastAsia="zh-CN"/>
        </w:rPr>
        <w:t>逐一填写保密审查单</w:t>
      </w:r>
      <w:r>
        <w:rPr>
          <w:rFonts w:hint="eastAsia" w:ascii="仿宋_GB2312" w:hAnsi="宋体" w:eastAsia="仿宋_GB2312" w:cs="宋体"/>
          <w:color w:val="auto"/>
          <w:spacing w:val="8"/>
          <w:kern w:val="0"/>
          <w:sz w:val="32"/>
          <w:szCs w:val="32"/>
        </w:rPr>
        <w:t>，</w:t>
      </w:r>
      <w:r>
        <w:rPr>
          <w:rFonts w:hint="eastAsia" w:ascii="仿宋_GB2312" w:hAnsi="宋体" w:eastAsia="仿宋_GB2312" w:cs="宋体"/>
          <w:color w:val="auto"/>
          <w:spacing w:val="8"/>
          <w:kern w:val="0"/>
          <w:sz w:val="32"/>
          <w:szCs w:val="32"/>
          <w:lang w:eastAsia="zh-CN"/>
        </w:rPr>
        <w:t>明确信息来源、信息发布形式、信息公开属性、承办部门意见等等。</w:t>
      </w:r>
    </w:p>
    <w:p>
      <w:pPr>
        <w:widowControl/>
        <w:spacing w:line="560" w:lineRule="exact"/>
        <w:ind w:firstLine="675"/>
        <w:jc w:val="left"/>
        <w:rPr>
          <w:rFonts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rPr>
        <w:t>继续打造“花伴儿”融媒体平台，截至2023年12月底，平台注册用户48627人，开展各类线上线下活动785场，解决“公事共办”案件3932件，认证“居民大V”202人。花伴儿发布官方时讯信息592条。</w:t>
      </w:r>
    </w:p>
    <w:p>
      <w:pPr>
        <w:widowControl/>
        <w:spacing w:line="560" w:lineRule="exact"/>
        <w:ind w:firstLine="675"/>
        <w:jc w:val="left"/>
        <w:rPr>
          <w:rFonts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rPr>
        <w:t>（四）教育培训及监督保障情况</w:t>
      </w:r>
    </w:p>
    <w:p>
      <w:pPr>
        <w:widowControl/>
        <w:spacing w:line="560" w:lineRule="exact"/>
        <w:ind w:firstLine="675"/>
        <w:jc w:val="left"/>
        <w:rPr>
          <w:rFonts w:hint="eastAsia"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highlight w:val="none"/>
        </w:rPr>
        <w:t>我街道积极参加区政务服务局组织的</w:t>
      </w:r>
      <w:r>
        <w:rPr>
          <w:rFonts w:hint="eastAsia" w:ascii="仿宋_GB2312" w:hAnsi="宋体" w:eastAsia="仿宋_GB2312" w:cs="宋体"/>
          <w:color w:val="auto"/>
          <w:spacing w:val="8"/>
          <w:kern w:val="0"/>
          <w:sz w:val="32"/>
          <w:szCs w:val="32"/>
          <w:highlight w:val="none"/>
          <w:lang w:eastAsia="zh-CN"/>
        </w:rPr>
        <w:t>《</w:t>
      </w:r>
      <w:r>
        <w:rPr>
          <w:rFonts w:hint="eastAsia" w:ascii="仿宋_GB2312" w:hAnsi="宋体" w:eastAsia="仿宋_GB2312" w:cs="宋体"/>
          <w:color w:val="auto"/>
          <w:spacing w:val="8"/>
          <w:kern w:val="0"/>
          <w:sz w:val="32"/>
          <w:szCs w:val="32"/>
          <w:highlight w:val="none"/>
        </w:rPr>
        <w:t>2023年政府信息依申请公开培训</w:t>
      </w:r>
      <w:r>
        <w:rPr>
          <w:rFonts w:hint="eastAsia" w:ascii="仿宋_GB2312" w:hAnsi="宋体" w:eastAsia="仿宋_GB2312" w:cs="宋体"/>
          <w:color w:val="auto"/>
          <w:spacing w:val="8"/>
          <w:kern w:val="0"/>
          <w:sz w:val="32"/>
          <w:szCs w:val="32"/>
          <w:highlight w:val="none"/>
          <w:lang w:eastAsia="zh-CN"/>
        </w:rPr>
        <w:t>》</w:t>
      </w:r>
      <w:r>
        <w:rPr>
          <w:rFonts w:hint="eastAsia" w:ascii="仿宋_GB2312" w:hAnsi="宋体" w:eastAsia="仿宋_GB2312" w:cs="宋体"/>
          <w:color w:val="auto"/>
          <w:spacing w:val="8"/>
          <w:kern w:val="0"/>
          <w:sz w:val="32"/>
          <w:szCs w:val="32"/>
          <w:highlight w:val="none"/>
        </w:rPr>
        <w:t>并及时传达至各部门。</w:t>
      </w:r>
      <w:r>
        <w:rPr>
          <w:rFonts w:hint="eastAsia" w:ascii="仿宋_GB2312" w:hAnsi="宋体" w:eastAsia="仿宋_GB2312" w:cs="宋体"/>
          <w:color w:val="auto"/>
          <w:spacing w:val="8"/>
          <w:kern w:val="0"/>
          <w:sz w:val="32"/>
          <w:szCs w:val="32"/>
        </w:rPr>
        <w:t>加强信息公开工作自我检查，严格按照保密审查程序强化对主动公开、依申请公开内容的保密审核工作，按照信息公开的相关程序，经过所属主管领导审批后方可进行发布。及时更新领导介绍、街道动态、行政处罚等内容，对上级指出的错敏字整改等</w:t>
      </w:r>
      <w:r>
        <w:rPr>
          <w:rFonts w:hint="eastAsia" w:ascii="仿宋_GB2312" w:hAnsi="宋体" w:eastAsia="仿宋_GB2312" w:cs="宋体"/>
          <w:color w:val="auto"/>
          <w:spacing w:val="8"/>
          <w:kern w:val="0"/>
          <w:sz w:val="32"/>
          <w:szCs w:val="32"/>
          <w:lang w:eastAsia="zh-CN"/>
        </w:rPr>
        <w:t>要求</w:t>
      </w:r>
      <w:r>
        <w:rPr>
          <w:rFonts w:hint="eastAsia" w:ascii="仿宋_GB2312" w:hAnsi="宋体" w:eastAsia="仿宋_GB2312" w:cs="宋体"/>
          <w:color w:val="auto"/>
          <w:spacing w:val="8"/>
          <w:kern w:val="0"/>
          <w:sz w:val="32"/>
          <w:szCs w:val="32"/>
        </w:rPr>
        <w:t>按照要求及时整改到位</w:t>
      </w:r>
      <w:r>
        <w:rPr>
          <w:rFonts w:hint="eastAsia" w:ascii="仿宋_GB2312" w:hAnsi="宋体" w:eastAsia="仿宋_GB2312" w:cs="宋体"/>
          <w:color w:val="auto"/>
          <w:spacing w:val="8"/>
          <w:kern w:val="0"/>
          <w:sz w:val="32"/>
          <w:szCs w:val="32"/>
          <w:lang w:eastAsia="zh-CN"/>
        </w:rPr>
        <w:t>。</w:t>
      </w:r>
      <w:bookmarkStart w:id="0" w:name="_GoBack"/>
      <w:bookmarkEnd w:id="0"/>
    </w:p>
    <w:p>
      <w:pPr>
        <w:numPr>
          <w:ilvl w:val="0"/>
          <w:numId w:val="1"/>
        </w:num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主动公开政府信息情况</w:t>
      </w:r>
    </w:p>
    <w:p>
      <w:pPr>
        <w:pStyle w:val="2"/>
        <w:rPr>
          <w:color w:val="auto"/>
        </w:rPr>
      </w:pPr>
    </w:p>
    <w:tbl>
      <w:tblPr>
        <w:tblStyle w:val="10"/>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rPr>
                <w:color w:val="auto"/>
              </w:rPr>
            </w:pPr>
            <w:r>
              <w:rPr>
                <w:rFonts w:hint="eastAsia" w:ascii="宋体" w:hAnsi="宋体" w:cs="宋体"/>
                <w:color w:val="auto"/>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color w:val="auto"/>
              </w:rPr>
            </w:pPr>
            <w:r>
              <w:rPr>
                <w:rFonts w:hint="eastAsia" w:ascii="宋体" w:hAnsi="宋体" w:cs="宋体"/>
                <w:color w:val="auto"/>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color w:val="auto"/>
              </w:rPr>
            </w:pPr>
            <w:r>
              <w:rPr>
                <w:rFonts w:hint="eastAsia" w:ascii="宋体" w:hAnsi="宋体" w:cs="宋体"/>
                <w:color w:val="auto"/>
                <w:kern w:val="0"/>
                <w:sz w:val="20"/>
                <w:szCs w:val="20"/>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color w:val="auto"/>
              </w:rPr>
            </w:pPr>
            <w:r>
              <w:rPr>
                <w:rFonts w:hint="eastAsia" w:ascii="宋体" w:hAnsi="宋体" w:cs="宋体"/>
                <w:color w:val="auto"/>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hint="eastAsia" w:ascii="宋体" w:hAnsi="宋体" w:cs="宋体"/>
                <w:color w:val="auto"/>
                <w:kern w:val="0"/>
                <w:sz w:val="20"/>
                <w:szCs w:val="20"/>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hint="eastAsia" w:ascii="宋体" w:hAnsi="宋体" w:cs="宋体"/>
                <w:color w:val="auto"/>
                <w:kern w:val="0"/>
                <w:sz w:val="20"/>
                <w:szCs w:val="20"/>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color w:val="auto"/>
              </w:rPr>
            </w:pPr>
            <w:r>
              <w:rPr>
                <w:rFonts w:hint="eastAsia" w:ascii="宋体" w:hAnsi="宋体" w:cs="宋体"/>
                <w:color w:val="auto"/>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hint="eastAsia" w:ascii="宋体" w:hAnsi="宋体" w:cs="宋体"/>
                <w:color w:val="auto"/>
                <w:kern w:val="0"/>
                <w:sz w:val="20"/>
                <w:szCs w:val="20"/>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hint="eastAsia" w:ascii="宋体" w:hAnsi="宋体" w:cs="宋体"/>
                <w:color w:val="auto"/>
                <w:kern w:val="0"/>
                <w:sz w:val="20"/>
                <w:szCs w:val="20"/>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color w:val="auto"/>
              </w:rPr>
            </w:pPr>
            <w:r>
              <w:rPr>
                <w:rFonts w:hint="eastAsia" w:ascii="宋体" w:hAnsi="宋体" w:cs="宋体"/>
                <w:color w:val="auto"/>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rPr>
                <w:color w:val="auto"/>
              </w:rPr>
            </w:pPr>
            <w:r>
              <w:rPr>
                <w:rFonts w:hint="eastAsia" w:ascii="宋体" w:hAnsi="宋体" w:cs="宋体"/>
                <w:color w:val="auto"/>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rPr>
                <w:color w:val="auto"/>
              </w:rPr>
            </w:pPr>
            <w:r>
              <w:rPr>
                <w:rFonts w:hint="eastAsia" w:ascii="宋体" w:hAnsi="宋体" w:cs="宋体"/>
                <w:color w:val="auto"/>
                <w:kern w:val="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color w:val="auto"/>
              </w:rPr>
            </w:pPr>
            <w:r>
              <w:rPr>
                <w:rFonts w:hint="eastAsia" w:ascii="宋体" w:hAnsi="宋体" w:cs="宋体"/>
                <w:color w:val="auto"/>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color w:val="auto"/>
              </w:rPr>
            </w:pPr>
            <w:r>
              <w:rPr>
                <w:rFonts w:hint="eastAsia" w:ascii="宋体" w:hAnsi="宋体" w:cs="宋体"/>
                <w:color w:val="auto"/>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rPr>
                <w:color w:val="auto"/>
              </w:rPr>
            </w:pPr>
            <w:r>
              <w:rPr>
                <w:rFonts w:hint="eastAsia" w:ascii="宋体" w:hAnsi="宋体" w:cs="宋体"/>
                <w:color w:val="auto"/>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color w:val="auto"/>
              </w:rPr>
            </w:pPr>
            <w:r>
              <w:rPr>
                <w:rFonts w:hint="eastAsia" w:ascii="宋体" w:hAnsi="宋体" w:cs="宋体"/>
                <w:color w:val="auto"/>
                <w:kern w:val="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color w:val="auto"/>
              </w:rPr>
            </w:pPr>
            <w:r>
              <w:rPr>
                <w:rFonts w:hint="eastAsia" w:ascii="宋体" w:hAnsi="宋体" w:cs="宋体"/>
                <w:color w:val="auto"/>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hint="eastAsia" w:ascii="宋体" w:hAnsi="宋体" w:cs="宋体"/>
                <w:color w:val="auto"/>
                <w:kern w:val="0"/>
                <w:sz w:val="20"/>
                <w:szCs w:val="20"/>
              </w:rPr>
              <w:t>1</w:t>
            </w:r>
            <w:r>
              <w:rPr>
                <w:rFonts w:ascii="宋体" w:hAnsi="宋体" w:cs="宋体"/>
                <w:color w:val="auto"/>
                <w:kern w:val="0"/>
                <w:sz w:val="20"/>
                <w:szCs w:val="20"/>
              </w:rPr>
              <w:t>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color w:val="auto"/>
              </w:rPr>
            </w:pPr>
            <w:r>
              <w:rPr>
                <w:rFonts w:hint="eastAsia" w:ascii="宋体" w:hAnsi="宋体" w:cs="宋体"/>
                <w:color w:val="auto"/>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hint="eastAsia" w:ascii="宋体" w:hAnsi="宋体" w:cs="宋体"/>
                <w:color w:val="auto"/>
                <w:kern w:val="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color w:val="auto"/>
              </w:rPr>
            </w:pPr>
            <w:r>
              <w:rPr>
                <w:rFonts w:hint="eastAsia" w:ascii="宋体" w:hAnsi="宋体" w:cs="宋体"/>
                <w:color w:val="auto"/>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rPr>
                <w:color w:val="auto"/>
              </w:rPr>
            </w:pPr>
            <w:r>
              <w:rPr>
                <w:rFonts w:hint="eastAsia" w:ascii="宋体" w:hAnsi="宋体" w:cs="宋体"/>
                <w:color w:val="auto"/>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rPr>
                <w:color w:val="auto"/>
              </w:rPr>
            </w:pPr>
            <w:r>
              <w:rPr>
                <w:rFonts w:hint="eastAsia" w:ascii="宋体" w:hAnsi="宋体" w:cs="宋体"/>
                <w:color w:val="auto"/>
                <w:kern w:val="0"/>
                <w:sz w:val="20"/>
                <w:szCs w:val="2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color w:val="auto"/>
              </w:rPr>
            </w:pPr>
            <w:r>
              <w:rPr>
                <w:rFonts w:hint="eastAsia" w:ascii="宋体" w:hAnsi="宋体" w:cs="宋体"/>
                <w:color w:val="auto"/>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宋体"/>
                <w:color w:val="auto"/>
                <w:sz w:val="24"/>
                <w:szCs w:val="24"/>
              </w:rPr>
            </w:pPr>
            <w:r>
              <w:rPr>
                <w:rFonts w:hint="eastAsia" w:ascii="宋体"/>
                <w:color w:val="auto"/>
                <w:sz w:val="24"/>
                <w:szCs w:val="24"/>
              </w:rPr>
              <w:t>0</w:t>
            </w:r>
          </w:p>
        </w:tc>
      </w:tr>
    </w:tbl>
    <w:p>
      <w:pPr>
        <w:pStyle w:val="2"/>
        <w:rPr>
          <w:color w:val="auto"/>
        </w:rPr>
      </w:pPr>
    </w:p>
    <w:p>
      <w:pPr>
        <w:pStyle w:val="2"/>
        <w:rPr>
          <w:color w:val="auto"/>
        </w:rPr>
      </w:pPr>
      <w:r>
        <w:rPr>
          <w:rFonts w:hint="eastAsia"/>
          <w:color w:val="auto"/>
        </w:rPr>
        <w:br w:type="page"/>
      </w:r>
    </w:p>
    <w:p>
      <w:pPr>
        <w:numPr>
          <w:ilvl w:val="0"/>
          <w:numId w:val="1"/>
        </w:num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收到和处理政府信息公开申请情况</w:t>
      </w:r>
    </w:p>
    <w:p>
      <w:pPr>
        <w:pStyle w:val="6"/>
        <w:widowControl/>
        <w:shd w:val="clear" w:color="auto" w:fill="FFFFFF"/>
        <w:spacing w:before="0" w:beforeAutospacing="0" w:after="0" w:afterAutospacing="0"/>
        <w:ind w:firstLine="420"/>
        <w:jc w:val="both"/>
        <w:rPr>
          <w:rFonts w:ascii="宋体" w:hAnsi="宋体" w:cs="宋体"/>
          <w:color w:val="auto"/>
          <w:szCs w:val="24"/>
        </w:rPr>
      </w:pPr>
    </w:p>
    <w:tbl>
      <w:tblPr>
        <w:tblStyle w:val="10"/>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widowControl/>
              <w:jc w:val="left"/>
              <w:rPr>
                <w:color w:val="auto"/>
              </w:rPr>
            </w:pPr>
            <w:r>
              <w:rPr>
                <w:rFonts w:ascii="楷体" w:hAnsi="楷体" w:eastAsia="楷体" w:cs="楷体"/>
                <w:color w:val="auto"/>
                <w:kern w:val="0"/>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rPr>
                <w:color w:val="auto"/>
              </w:rPr>
            </w:pPr>
            <w:r>
              <w:rPr>
                <w:rFonts w:hint="eastAsia" w:ascii="宋体" w:hAnsi="宋体" w:cs="宋体"/>
                <w:color w:val="auto"/>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color w:val="auto"/>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rPr>
                <w:color w:val="auto"/>
              </w:rPr>
            </w:pPr>
            <w:r>
              <w:rPr>
                <w:rFonts w:hint="eastAsia" w:ascii="宋体" w:hAnsi="宋体" w:cs="宋体"/>
                <w:color w:val="auto"/>
                <w:kern w:val="0"/>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rPr>
                <w:color w:val="auto"/>
              </w:rPr>
            </w:pPr>
            <w:r>
              <w:rPr>
                <w:rFonts w:hint="eastAsia" w:ascii="宋体" w:hAnsi="宋体" w:cs="宋体"/>
                <w:color w:val="auto"/>
                <w:kern w:val="0"/>
                <w:sz w:val="20"/>
                <w:szCs w:val="20"/>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widowControl/>
              <w:jc w:val="center"/>
              <w:rPr>
                <w:color w:val="auto"/>
              </w:rPr>
            </w:pPr>
            <w:r>
              <w:rPr>
                <w:rFonts w:hint="eastAsia" w:ascii="宋体" w:hAnsi="宋体" w:cs="宋体"/>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rPr>
                <w:rFonts w:ascii="宋体"/>
                <w:color w:val="auto"/>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rPr>
                <w:rFonts w:ascii="宋体"/>
                <w:color w:val="auto"/>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rPr>
                <w:color w:val="auto"/>
              </w:rPr>
            </w:pPr>
            <w:r>
              <w:rPr>
                <w:rFonts w:hint="eastAsia" w:ascii="宋体" w:hAnsi="宋体" w:cs="宋体"/>
                <w:color w:val="auto"/>
                <w:kern w:val="0"/>
                <w:sz w:val="20"/>
                <w:szCs w:val="20"/>
              </w:rPr>
              <w:t>商业</w:t>
            </w:r>
          </w:p>
          <w:p>
            <w:pPr>
              <w:widowControl/>
              <w:jc w:val="center"/>
              <w:rPr>
                <w:color w:val="auto"/>
              </w:rPr>
            </w:pPr>
            <w:r>
              <w:rPr>
                <w:rFonts w:hint="eastAsia" w:ascii="宋体" w:hAnsi="宋体" w:cs="宋体"/>
                <w:color w:val="auto"/>
                <w:kern w:val="0"/>
                <w:sz w:val="20"/>
                <w:szCs w:val="20"/>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widowControl/>
              <w:jc w:val="center"/>
              <w:rPr>
                <w:color w:val="auto"/>
              </w:rPr>
            </w:pPr>
            <w:r>
              <w:rPr>
                <w:rFonts w:hint="eastAsia" w:ascii="宋体" w:hAnsi="宋体" w:cs="宋体"/>
                <w:color w:val="auto"/>
                <w:kern w:val="0"/>
                <w:sz w:val="20"/>
                <w:szCs w:val="20"/>
              </w:rPr>
              <w:t>科研</w:t>
            </w:r>
          </w:p>
          <w:p>
            <w:pPr>
              <w:widowControl/>
              <w:jc w:val="center"/>
              <w:rPr>
                <w:color w:val="auto"/>
              </w:rPr>
            </w:pPr>
            <w:r>
              <w:rPr>
                <w:rFonts w:hint="eastAsia" w:ascii="宋体" w:hAnsi="宋体" w:cs="宋体"/>
                <w:color w:val="auto"/>
                <w:kern w:val="0"/>
                <w:sz w:val="20"/>
                <w:szCs w:val="20"/>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rPr>
                <w:color w:val="auto"/>
              </w:rPr>
            </w:pPr>
            <w:r>
              <w:rPr>
                <w:rFonts w:hint="eastAsia" w:ascii="宋体" w:hAnsi="宋体" w:cs="宋体"/>
                <w:color w:val="auto"/>
                <w:kern w:val="0"/>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rPr>
                <w:color w:val="auto"/>
              </w:rPr>
            </w:pPr>
            <w:r>
              <w:rPr>
                <w:rFonts w:hint="eastAsia" w:ascii="宋体" w:hAnsi="宋体" w:cs="宋体"/>
                <w:color w:val="auto"/>
                <w:kern w:val="0"/>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widowControl/>
              <w:jc w:val="center"/>
              <w:rPr>
                <w:color w:val="auto"/>
              </w:rPr>
            </w:pPr>
            <w:r>
              <w:rPr>
                <w:rFonts w:hint="eastAsia" w:ascii="宋体" w:hAnsi="宋体" w:cs="宋体"/>
                <w:color w:val="auto"/>
                <w:kern w:val="0"/>
                <w:sz w:val="20"/>
                <w:szCs w:val="20"/>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rPr>
                <w:rFonts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color w:val="auto"/>
              </w:rPr>
            </w:pPr>
            <w:r>
              <w:rPr>
                <w:rFonts w:hint="eastAsia" w:ascii="宋体" w:hAnsi="宋体" w:cs="宋体"/>
                <w:color w:val="auto"/>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color w:val="auto"/>
              </w:rPr>
            </w:pPr>
            <w:r>
              <w:rPr>
                <w:rFonts w:hint="eastAsia" w:ascii="宋体" w:hAnsi="宋体" w:cs="宋体"/>
                <w:color w:val="auto"/>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widowControl/>
              <w:jc w:val="left"/>
              <w:rPr>
                <w:color w:val="auto"/>
              </w:rPr>
            </w:pPr>
            <w:r>
              <w:rPr>
                <w:rFonts w:hint="eastAsia" w:ascii="宋体" w:hAnsi="宋体" w:cs="宋体"/>
                <w:color w:val="auto"/>
                <w:kern w:val="0"/>
                <w:sz w:val="20"/>
                <w:szCs w:val="20"/>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rPr>
                <w:color w:val="auto"/>
              </w:rPr>
            </w:pPr>
            <w:r>
              <w:rPr>
                <w:rFonts w:hint="eastAsia" w:ascii="宋体" w:hAnsi="宋体" w:cs="宋体"/>
                <w:color w:val="auto"/>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rPr>
                <w:color w:val="auto"/>
              </w:rPr>
            </w:pPr>
            <w:r>
              <w:rPr>
                <w:rFonts w:hint="eastAsia" w:ascii="宋体" w:hAnsi="宋体" w:cs="宋体"/>
                <w:color w:val="auto"/>
                <w:kern w:val="0"/>
                <w:sz w:val="20"/>
                <w:szCs w:val="20"/>
              </w:rPr>
              <w:t>（二）部分公开</w:t>
            </w:r>
            <w:r>
              <w:rPr>
                <w:rFonts w:ascii="楷体" w:hAnsi="楷体" w:eastAsia="楷体" w:cs="楷体"/>
                <w:color w:val="auto"/>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ascii="Calibri" w:hAnsi="Calibri" w:cs="Calibri"/>
                <w:color w:val="auto"/>
                <w:kern w:val="0"/>
                <w:sz w:val="20"/>
                <w:szCs w:val="20"/>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rPr>
                <w:color w:val="auto"/>
              </w:rPr>
            </w:pPr>
            <w:r>
              <w:rPr>
                <w:rFonts w:hint="eastAsia" w:ascii="宋体" w:hAnsi="宋体" w:cs="宋体"/>
                <w:color w:val="auto"/>
                <w:kern w:val="0"/>
                <w:sz w:val="20"/>
                <w:szCs w:val="20"/>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rPr>
                <w:color w:val="auto"/>
              </w:rPr>
            </w:pPr>
            <w:r>
              <w:rPr>
                <w:rFonts w:hint="eastAsia" w:ascii="宋体" w:hAnsi="宋体" w:cs="宋体"/>
                <w:color w:val="auto"/>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rPr>
                <w:color w:val="auto"/>
              </w:rPr>
            </w:pPr>
            <w:r>
              <w:rPr>
                <w:rFonts w:hint="eastAsia" w:ascii="宋体" w:hAnsi="宋体" w:cs="宋体"/>
                <w:color w:val="auto"/>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rPr>
                <w:color w:val="auto"/>
              </w:rPr>
            </w:pPr>
            <w:r>
              <w:rPr>
                <w:rFonts w:hint="eastAsia" w:ascii="宋体" w:hAnsi="宋体" w:cs="宋体"/>
                <w:color w:val="auto"/>
                <w:kern w:val="0"/>
                <w:sz w:val="20"/>
                <w:szCs w:val="20"/>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rPr>
                <w:color w:val="auto"/>
              </w:rPr>
            </w:pPr>
            <w:r>
              <w:rPr>
                <w:rFonts w:hint="eastAsia" w:ascii="宋体" w:hAnsi="宋体" w:cs="宋体"/>
                <w:color w:val="auto"/>
                <w:kern w:val="0"/>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rPr>
                <w:color w:val="auto"/>
              </w:rPr>
            </w:pPr>
            <w:r>
              <w:rPr>
                <w:rFonts w:hint="eastAsia" w:ascii="宋体" w:hAnsi="宋体" w:cs="宋体"/>
                <w:color w:val="auto"/>
                <w:kern w:val="0"/>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rPr>
                <w:color w:val="auto"/>
              </w:rPr>
            </w:pPr>
            <w:r>
              <w:rPr>
                <w:rFonts w:hint="eastAsia" w:ascii="宋体" w:hAnsi="宋体" w:cs="宋体"/>
                <w:color w:val="auto"/>
                <w:kern w:val="0"/>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rPr>
                <w:color w:val="auto"/>
              </w:rPr>
            </w:pPr>
            <w:r>
              <w:rPr>
                <w:rFonts w:hint="eastAsia" w:ascii="宋体" w:hAnsi="宋体" w:cs="宋体"/>
                <w:color w:val="auto"/>
                <w:kern w:val="0"/>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rPr>
                <w:color w:val="auto"/>
              </w:rPr>
            </w:pPr>
            <w:r>
              <w:rPr>
                <w:rFonts w:hint="eastAsia" w:ascii="宋体" w:hAnsi="宋体" w:cs="宋体"/>
                <w:color w:val="auto"/>
                <w:kern w:val="0"/>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rPr>
                <w:color w:val="auto"/>
              </w:rPr>
            </w:pPr>
            <w:r>
              <w:rPr>
                <w:rFonts w:hint="eastAsia" w:ascii="宋体" w:hAnsi="宋体" w:cs="宋体"/>
                <w:color w:val="auto"/>
                <w:kern w:val="0"/>
                <w:sz w:val="20"/>
                <w:szCs w:val="20"/>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rPr>
                <w:color w:val="auto"/>
              </w:rPr>
            </w:pPr>
            <w:r>
              <w:rPr>
                <w:rFonts w:hint="eastAsia" w:ascii="宋体" w:hAnsi="宋体" w:cs="宋体"/>
                <w:color w:val="auto"/>
                <w:kern w:val="0"/>
                <w:sz w:val="20"/>
                <w:szCs w:val="20"/>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eastAsia="宋体"/>
                <w:color w:val="auto"/>
                <w:lang w:eastAsia="zh-CN"/>
              </w:rPr>
            </w:pPr>
            <w:r>
              <w:rPr>
                <w:rFonts w:hint="eastAsia" w:ascii="Calibri" w:hAnsi="Calibri" w:cs="Calibri"/>
                <w:color w:val="auto"/>
                <w:kern w:val="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rPr>
                <w:color w:val="auto"/>
              </w:rPr>
            </w:pPr>
            <w:r>
              <w:rPr>
                <w:rFonts w:hint="eastAsia" w:ascii="宋体" w:hAnsi="宋体" w:cs="宋体"/>
                <w:color w:val="auto"/>
                <w:kern w:val="0"/>
                <w:sz w:val="20"/>
                <w:szCs w:val="20"/>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rPr>
                <w:color w:val="auto"/>
              </w:rPr>
            </w:pPr>
            <w:r>
              <w:rPr>
                <w:rFonts w:hint="eastAsia" w:ascii="宋体" w:hAnsi="宋体" w:cs="宋体"/>
                <w:color w:val="auto"/>
                <w:kern w:val="0"/>
                <w:sz w:val="20"/>
                <w:szCs w:val="20"/>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widowControl/>
              <w:jc w:val="left"/>
              <w:rPr>
                <w:color w:val="auto"/>
              </w:rPr>
            </w:pPr>
            <w:r>
              <w:rPr>
                <w:rFonts w:hint="eastAsia" w:ascii="宋体" w:hAnsi="宋体" w:cs="宋体"/>
                <w:color w:val="auto"/>
                <w:kern w:val="0"/>
                <w:sz w:val="20"/>
                <w:szCs w:val="20"/>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rPr>
                <w:color w:val="auto"/>
              </w:rPr>
            </w:pPr>
            <w:r>
              <w:rPr>
                <w:rFonts w:hint="eastAsia" w:ascii="宋体" w:hAnsi="宋体" w:cs="宋体"/>
                <w:color w:val="auto"/>
                <w:kern w:val="0"/>
                <w:sz w:val="20"/>
                <w:szCs w:val="20"/>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rPr>
                <w:color w:val="auto"/>
              </w:rPr>
            </w:pPr>
            <w:r>
              <w:rPr>
                <w:rFonts w:hint="eastAsia" w:ascii="宋体" w:hAnsi="宋体" w:cs="宋体"/>
                <w:color w:val="auto"/>
                <w:kern w:val="0"/>
                <w:sz w:val="20"/>
                <w:szCs w:val="20"/>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rPr>
                <w:color w:val="auto"/>
              </w:rPr>
            </w:pPr>
            <w:r>
              <w:rPr>
                <w:rFonts w:hint="eastAsia" w:ascii="宋体" w:hAnsi="宋体" w:cs="宋体"/>
                <w:color w:val="auto"/>
                <w:kern w:val="0"/>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widowControl/>
              <w:jc w:val="left"/>
              <w:rPr>
                <w:color w:val="auto"/>
              </w:rPr>
            </w:pPr>
            <w:r>
              <w:rPr>
                <w:rFonts w:hint="eastAsia" w:ascii="宋体" w:hAnsi="宋体" w:cs="宋体"/>
                <w:color w:val="auto"/>
                <w:kern w:val="0"/>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rPr>
                <w:rFonts w:ascii="宋体"/>
                <w:color w:val="auto"/>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widowControl/>
              <w:rPr>
                <w:color w:val="auto"/>
              </w:rPr>
            </w:pPr>
            <w:r>
              <w:rPr>
                <w:rFonts w:hint="eastAsia" w:ascii="宋体" w:hAnsi="宋体" w:cs="宋体"/>
                <w:color w:val="auto"/>
                <w:kern w:val="0"/>
                <w:sz w:val="20"/>
                <w:szCs w:val="20"/>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outset"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outset"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widowControl/>
              <w:jc w:val="left"/>
              <w:rPr>
                <w:color w:val="auto"/>
              </w:rPr>
            </w:pPr>
            <w:r>
              <w:rPr>
                <w:rFonts w:hint="eastAsia" w:ascii="宋体" w:hAnsi="宋体" w:cs="宋体"/>
                <w:color w:val="auto"/>
                <w:kern w:val="0"/>
                <w:sz w:val="20"/>
                <w:szCs w:val="20"/>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rPr>
                <w:color w:val="auto"/>
              </w:rPr>
            </w:pPr>
            <w:r>
              <w:rPr>
                <w:rFonts w:hint="eastAsia" w:ascii="宋体" w:hAnsi="宋体" w:cs="宋体"/>
                <w:color w:val="auto"/>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rPr>
                <w:color w:val="auto"/>
              </w:rPr>
            </w:pPr>
            <w:r>
              <w:rPr>
                <w:rFonts w:hint="eastAsia" w:ascii="宋体" w:hAnsi="宋体" w:cs="宋体"/>
                <w:color w:val="auto"/>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pPr>
              <w:rPr>
                <w:rFonts w:ascii="宋体"/>
                <w:color w:val="auto"/>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rPr>
                <w:color w:val="auto"/>
              </w:rPr>
            </w:pPr>
            <w:r>
              <w:rPr>
                <w:rFonts w:hint="eastAsia" w:ascii="宋体" w:hAnsi="宋体" w:cs="宋体"/>
                <w:color w:val="auto"/>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rPr>
                <w:rFonts w:ascii="宋体"/>
                <w:color w:val="auto"/>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left"/>
              <w:rPr>
                <w:color w:val="auto"/>
              </w:rPr>
            </w:pPr>
            <w:r>
              <w:rPr>
                <w:rFonts w:hint="eastAsia" w:ascii="宋体" w:hAnsi="宋体" w:cs="宋体"/>
                <w:color w:val="auto"/>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2</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0 </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color w:val="auto"/>
              </w:rPr>
            </w:pPr>
            <w:r>
              <w:rPr>
                <w:rFonts w:ascii="Calibri" w:hAnsi="Calibri" w:cs="Calibri"/>
                <w:color w:val="auto"/>
                <w:kern w:val="0"/>
                <w:sz w:val="20"/>
                <w:szCs w:val="20"/>
              </w:rPr>
              <w:t> 0</w:t>
            </w:r>
          </w:p>
        </w:tc>
        <w:tc>
          <w:tcPr>
            <w:tcW w:w="689" w:type="dxa"/>
            <w:tcBorders>
              <w:top w:val="nil"/>
              <w:left w:val="nil"/>
              <w:bottom w:val="single" w:color="auto" w:sz="8" w:space="0"/>
              <w:right w:val="single" w:color="auto" w:sz="8" w:space="0"/>
            </w:tcBorders>
            <w:tcMar>
              <w:left w:w="57" w:type="dxa"/>
              <w:right w:w="57" w:type="dxa"/>
            </w:tcMar>
            <w:vAlign w:val="top"/>
          </w:tcPr>
          <w:p>
            <w:pPr>
              <w:widowControl/>
              <w:jc w:val="center"/>
              <w:rPr>
                <w:color w:val="auto"/>
              </w:rPr>
            </w:pPr>
            <w:r>
              <w:rPr>
                <w:rFonts w:ascii="Calibri" w:hAnsi="Calibri" w:cs="Calibri"/>
                <w:color w:val="auto"/>
                <w:kern w:val="0"/>
                <w:sz w:val="20"/>
                <w:szCs w:val="20"/>
              </w:rPr>
              <w:t> 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color w:val="auto"/>
              </w:rPr>
            </w:pPr>
            <w:r>
              <w:rPr>
                <w:rFonts w:hint="eastAsia" w:ascii="宋体" w:hAnsi="宋体" w:cs="宋体"/>
                <w:color w:val="auto"/>
                <w:kern w:val="0"/>
                <w:sz w:val="20"/>
                <w:szCs w:val="20"/>
              </w:rPr>
              <w:t>四、结转下年度继续办理</w:t>
            </w:r>
          </w:p>
        </w:tc>
        <w:tc>
          <w:tcPr>
            <w:tcW w:w="688" w:type="dxa"/>
            <w:tcBorders>
              <w:top w:val="outset" w:color="auto" w:sz="6" w:space="0"/>
              <w:left w:val="nil"/>
              <w:bottom w:val="outset" w:color="auto" w:sz="6" w:space="0"/>
              <w:right w:val="outset" w:color="auto" w:sz="6" w:space="0"/>
            </w:tcBorders>
            <w:vAlign w:val="center"/>
          </w:tcPr>
          <w:p>
            <w:pPr>
              <w:rPr>
                <w:rFonts w:ascii="宋体"/>
                <w:color w:val="auto"/>
                <w:sz w:val="24"/>
                <w:szCs w:val="24"/>
              </w:rPr>
            </w:pPr>
            <w:r>
              <w:rPr>
                <w:rFonts w:ascii="Calibri" w:hAnsi="Calibri" w:cs="Calibri"/>
                <w:color w:val="auto"/>
                <w:kern w:val="0"/>
                <w:sz w:val="20"/>
                <w:szCs w:val="20"/>
              </w:rPr>
              <w:t> 0</w:t>
            </w:r>
          </w:p>
        </w:tc>
        <w:tc>
          <w:tcPr>
            <w:tcW w:w="688" w:type="dxa"/>
            <w:tcBorders>
              <w:top w:val="outset" w:color="auto" w:sz="6" w:space="0"/>
              <w:left w:val="nil"/>
              <w:bottom w:val="outset" w:color="auto" w:sz="6" w:space="0"/>
              <w:right w:val="outset" w:color="auto" w:sz="6" w:space="0"/>
            </w:tcBorders>
            <w:vAlign w:val="center"/>
          </w:tcPr>
          <w:p>
            <w:pPr>
              <w:rPr>
                <w:rFonts w:ascii="宋体"/>
                <w:color w:val="auto"/>
                <w:sz w:val="24"/>
                <w:szCs w:val="24"/>
              </w:rPr>
            </w:pPr>
            <w:r>
              <w:rPr>
                <w:rFonts w:ascii="Calibri" w:hAnsi="Calibri" w:cs="Calibri"/>
                <w:color w:val="auto"/>
                <w:kern w:val="0"/>
                <w:sz w:val="20"/>
                <w:szCs w:val="20"/>
              </w:rPr>
              <w:t>0 </w:t>
            </w:r>
          </w:p>
        </w:tc>
        <w:tc>
          <w:tcPr>
            <w:tcW w:w="688" w:type="dxa"/>
            <w:tcBorders>
              <w:top w:val="outset" w:color="auto" w:sz="6" w:space="0"/>
              <w:left w:val="nil"/>
              <w:bottom w:val="outset" w:color="auto" w:sz="6" w:space="0"/>
              <w:right w:val="outset" w:color="auto" w:sz="6" w:space="0"/>
            </w:tcBorders>
            <w:vAlign w:val="center"/>
          </w:tcPr>
          <w:p>
            <w:pPr>
              <w:rPr>
                <w:rFonts w:ascii="宋体"/>
                <w:color w:val="auto"/>
                <w:sz w:val="24"/>
                <w:szCs w:val="24"/>
              </w:rPr>
            </w:pPr>
            <w:r>
              <w:rPr>
                <w:rFonts w:ascii="Calibri" w:hAnsi="Calibri" w:cs="Calibri"/>
                <w:color w:val="auto"/>
                <w:kern w:val="0"/>
                <w:sz w:val="20"/>
                <w:szCs w:val="20"/>
              </w:rPr>
              <w:t> 0</w:t>
            </w:r>
          </w:p>
        </w:tc>
        <w:tc>
          <w:tcPr>
            <w:tcW w:w="688" w:type="dxa"/>
            <w:tcBorders>
              <w:top w:val="outset" w:color="auto" w:sz="6" w:space="0"/>
              <w:left w:val="nil"/>
              <w:bottom w:val="outset" w:color="auto" w:sz="6" w:space="0"/>
              <w:right w:val="outset" w:color="auto" w:sz="6" w:space="0"/>
            </w:tcBorders>
            <w:vAlign w:val="center"/>
          </w:tcPr>
          <w:p>
            <w:pPr>
              <w:rPr>
                <w:rFonts w:ascii="宋体"/>
                <w:color w:val="auto"/>
                <w:sz w:val="24"/>
                <w:szCs w:val="24"/>
              </w:rPr>
            </w:pPr>
            <w:r>
              <w:rPr>
                <w:rFonts w:ascii="Calibri" w:hAnsi="Calibri" w:cs="Calibri"/>
                <w:color w:val="auto"/>
                <w:kern w:val="0"/>
                <w:sz w:val="20"/>
                <w:szCs w:val="20"/>
              </w:rPr>
              <w:t>0 </w:t>
            </w:r>
          </w:p>
        </w:tc>
        <w:tc>
          <w:tcPr>
            <w:tcW w:w="688" w:type="dxa"/>
            <w:tcBorders>
              <w:top w:val="outset" w:color="auto" w:sz="6" w:space="0"/>
              <w:left w:val="nil"/>
              <w:bottom w:val="outset" w:color="auto" w:sz="6" w:space="0"/>
              <w:right w:val="outset" w:color="auto" w:sz="6" w:space="0"/>
            </w:tcBorders>
            <w:vAlign w:val="center"/>
          </w:tcPr>
          <w:p>
            <w:pPr>
              <w:rPr>
                <w:rFonts w:ascii="宋体"/>
                <w:color w:val="auto"/>
                <w:sz w:val="24"/>
                <w:szCs w:val="24"/>
              </w:rPr>
            </w:pPr>
            <w:r>
              <w:rPr>
                <w:rFonts w:ascii="Calibri" w:hAnsi="Calibri" w:cs="Calibri"/>
                <w:color w:val="auto"/>
                <w:kern w:val="0"/>
                <w:sz w:val="20"/>
                <w:szCs w:val="20"/>
              </w:rPr>
              <w:t> 0</w:t>
            </w:r>
          </w:p>
        </w:tc>
        <w:tc>
          <w:tcPr>
            <w:tcW w:w="688" w:type="dxa"/>
            <w:tcBorders>
              <w:top w:val="outset" w:color="auto" w:sz="6" w:space="0"/>
              <w:left w:val="nil"/>
              <w:bottom w:val="outset" w:color="auto" w:sz="6" w:space="0"/>
              <w:right w:val="outset" w:color="auto" w:sz="6" w:space="0"/>
            </w:tcBorders>
            <w:vAlign w:val="center"/>
          </w:tcPr>
          <w:p>
            <w:pPr>
              <w:rPr>
                <w:rFonts w:ascii="宋体"/>
                <w:color w:val="auto"/>
                <w:sz w:val="24"/>
                <w:szCs w:val="24"/>
              </w:rPr>
            </w:pPr>
            <w:r>
              <w:rPr>
                <w:rFonts w:ascii="Calibri" w:hAnsi="Calibri" w:cs="Calibri"/>
                <w:color w:val="auto"/>
                <w:kern w:val="0"/>
                <w:sz w:val="20"/>
                <w:szCs w:val="20"/>
              </w:rPr>
              <w:t> 0</w:t>
            </w:r>
          </w:p>
        </w:tc>
        <w:tc>
          <w:tcPr>
            <w:tcW w:w="689" w:type="dxa"/>
            <w:tcBorders>
              <w:top w:val="outset" w:color="auto" w:sz="6" w:space="0"/>
              <w:left w:val="nil"/>
              <w:bottom w:val="outset" w:color="auto" w:sz="6" w:space="0"/>
              <w:right w:val="outset" w:color="auto" w:sz="6" w:space="0"/>
            </w:tcBorders>
            <w:vAlign w:val="top"/>
          </w:tcPr>
          <w:p>
            <w:pPr>
              <w:rPr>
                <w:rFonts w:ascii="宋体"/>
                <w:color w:val="auto"/>
                <w:sz w:val="24"/>
                <w:szCs w:val="24"/>
              </w:rPr>
            </w:pPr>
            <w:r>
              <w:rPr>
                <w:rFonts w:ascii="Calibri" w:hAnsi="Calibri" w:cs="Calibri"/>
                <w:color w:val="auto"/>
                <w:kern w:val="0"/>
                <w:sz w:val="20"/>
                <w:szCs w:val="20"/>
              </w:rPr>
              <w:t> 0</w:t>
            </w:r>
          </w:p>
        </w:tc>
      </w:tr>
    </w:tbl>
    <w:p>
      <w:pPr>
        <w:pStyle w:val="2"/>
        <w:ind w:left="420" w:leftChars="200"/>
        <w:rPr>
          <w:color w:val="auto"/>
        </w:rPr>
      </w:pPr>
    </w:p>
    <w:p>
      <w:pPr>
        <w:pStyle w:val="2"/>
        <w:ind w:left="420" w:leftChars="200"/>
        <w:rPr>
          <w:color w:val="auto"/>
        </w:rPr>
      </w:pPr>
      <w:r>
        <w:rPr>
          <w:rFonts w:hint="eastAsia"/>
          <w:color w:val="auto"/>
        </w:rPr>
        <w:br w:type="textWrapping"/>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四、政府信息公开行政复议、行政诉讼情况</w:t>
      </w:r>
    </w:p>
    <w:p>
      <w:pPr>
        <w:widowControl/>
        <w:jc w:val="center"/>
        <w:rPr>
          <w:color w:val="auto"/>
        </w:rPr>
      </w:pPr>
    </w:p>
    <w:tbl>
      <w:tblPr>
        <w:tblStyle w:val="10"/>
        <w:tblW w:w="9748"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rPr>
                <w:color w:val="auto"/>
              </w:rPr>
            </w:pPr>
            <w:r>
              <w:rPr>
                <w:rFonts w:hint="eastAsia" w:ascii="宋体" w:hAnsi="宋体" w:cs="宋体"/>
                <w:color w:val="auto"/>
                <w:kern w:val="0"/>
                <w:sz w:val="20"/>
                <w:szCs w:val="20"/>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rPr>
                <w:color w:val="auto"/>
              </w:rPr>
            </w:pPr>
            <w:r>
              <w:rPr>
                <w:rFonts w:hint="eastAsia" w:ascii="宋体" w:hAnsi="宋体" w:cs="宋体"/>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cs="宋体"/>
                <w:color w:val="auto"/>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cs="宋体"/>
                <w:color w:val="auto"/>
                <w:kern w:val="0"/>
                <w:sz w:val="20"/>
                <w:szCs w:val="20"/>
              </w:rPr>
              <w:t>结果</w:t>
            </w:r>
            <w:r>
              <w:rPr>
                <w:rFonts w:hint="eastAsia" w:ascii="宋体" w:hAnsi="宋体" w:cs="宋体"/>
                <w:color w:val="auto"/>
                <w:kern w:val="0"/>
                <w:sz w:val="20"/>
                <w:szCs w:val="20"/>
              </w:rPr>
              <w:br w:type="textWrapping"/>
            </w:r>
            <w:r>
              <w:rPr>
                <w:rFonts w:hint="eastAsia" w:ascii="宋体" w:hAnsi="宋体" w:cs="宋体"/>
                <w:color w:val="auto"/>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cs="宋体"/>
                <w:color w:val="auto"/>
                <w:kern w:val="0"/>
                <w:sz w:val="20"/>
                <w:szCs w:val="20"/>
              </w:rPr>
              <w:t>其他</w:t>
            </w:r>
            <w:r>
              <w:rPr>
                <w:rFonts w:hint="eastAsia" w:ascii="宋体" w:hAnsi="宋体" w:cs="宋体"/>
                <w:color w:val="auto"/>
                <w:kern w:val="0"/>
                <w:sz w:val="20"/>
                <w:szCs w:val="20"/>
              </w:rPr>
              <w:br w:type="textWrapping"/>
            </w:r>
            <w:r>
              <w:rPr>
                <w:rFonts w:hint="eastAsia" w:ascii="宋体" w:hAnsi="宋体" w:cs="宋体"/>
                <w:color w:val="auto"/>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cs="宋体"/>
                <w:color w:val="auto"/>
                <w:kern w:val="0"/>
                <w:sz w:val="20"/>
                <w:szCs w:val="20"/>
              </w:rPr>
              <w:t>尚未</w:t>
            </w:r>
            <w:r>
              <w:rPr>
                <w:rFonts w:hint="eastAsia" w:ascii="宋体" w:hAnsi="宋体" w:cs="宋体"/>
                <w:color w:val="auto"/>
                <w:kern w:val="0"/>
                <w:sz w:val="20"/>
                <w:szCs w:val="20"/>
              </w:rPr>
              <w:br w:type="textWrapping"/>
            </w:r>
            <w:r>
              <w:rPr>
                <w:rFonts w:hint="eastAsia" w:ascii="宋体" w:hAnsi="宋体" w:cs="宋体"/>
                <w:color w:val="auto"/>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color w:val="auto"/>
              </w:rPr>
            </w:pPr>
            <w:r>
              <w:rPr>
                <w:rFonts w:hint="eastAsia" w:ascii="宋体" w:hAnsi="宋体" w:cs="宋体"/>
                <w:color w:val="auto"/>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rPr>
                <w:color w:val="auto"/>
              </w:rPr>
            </w:pPr>
            <w:r>
              <w:rPr>
                <w:rFonts w:hint="eastAsia" w:ascii="宋体" w:hAnsi="宋体" w:cs="宋体"/>
                <w:color w:val="auto"/>
                <w:kern w:val="0"/>
                <w:sz w:val="20"/>
                <w:szCs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rPr>
                <w:color w:val="auto"/>
              </w:rPr>
            </w:pPr>
            <w:r>
              <w:rPr>
                <w:rFonts w:hint="eastAsia" w:ascii="宋体" w:hAnsi="宋体" w:cs="宋体"/>
                <w:color w:val="auto"/>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olor w:val="auto"/>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color w:val="auto"/>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color w:val="auto"/>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hint="eastAsia" w:ascii="宋体" w:hAnsi="宋体" w:cs="宋体"/>
                <w:color w:val="auto"/>
                <w:kern w:val="0"/>
                <w:sz w:val="20"/>
                <w:szCs w:val="20"/>
              </w:rPr>
              <w:t>结果</w:t>
            </w:r>
            <w:r>
              <w:rPr>
                <w:rFonts w:hint="eastAsia" w:ascii="宋体" w:hAnsi="宋体" w:cs="宋体"/>
                <w:color w:val="auto"/>
                <w:kern w:val="0"/>
                <w:sz w:val="20"/>
                <w:szCs w:val="20"/>
              </w:rPr>
              <w:br w:type="textWrapping"/>
            </w:r>
            <w:r>
              <w:rPr>
                <w:rFonts w:hint="eastAsia" w:ascii="宋体" w:hAnsi="宋体" w:cs="宋体"/>
                <w:color w:val="auto"/>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hint="eastAsia" w:ascii="宋体" w:hAnsi="宋体" w:cs="宋体"/>
                <w:color w:val="auto"/>
                <w:kern w:val="0"/>
                <w:sz w:val="20"/>
                <w:szCs w:val="20"/>
              </w:rPr>
              <w:t>结果</w:t>
            </w:r>
            <w:r>
              <w:rPr>
                <w:rFonts w:hint="eastAsia" w:ascii="宋体" w:hAnsi="宋体" w:cs="宋体"/>
                <w:color w:val="auto"/>
                <w:kern w:val="0"/>
                <w:sz w:val="20"/>
                <w:szCs w:val="20"/>
              </w:rPr>
              <w:br w:type="textWrapping"/>
            </w:r>
            <w:r>
              <w:rPr>
                <w:rFonts w:hint="eastAsia" w:ascii="宋体" w:hAnsi="宋体" w:cs="宋体"/>
                <w:color w:val="auto"/>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hint="eastAsia" w:ascii="宋体" w:hAnsi="宋体" w:cs="宋体"/>
                <w:color w:val="auto"/>
                <w:kern w:val="0"/>
                <w:sz w:val="20"/>
                <w:szCs w:val="20"/>
              </w:rPr>
              <w:t>其他</w:t>
            </w:r>
            <w:r>
              <w:rPr>
                <w:rFonts w:hint="eastAsia" w:ascii="宋体" w:hAnsi="宋体" w:cs="宋体"/>
                <w:color w:val="auto"/>
                <w:kern w:val="0"/>
                <w:sz w:val="20"/>
                <w:szCs w:val="20"/>
              </w:rPr>
              <w:br w:type="textWrapping"/>
            </w:r>
            <w:r>
              <w:rPr>
                <w:rFonts w:hint="eastAsia" w:ascii="宋体" w:hAnsi="宋体" w:cs="宋体"/>
                <w:color w:val="auto"/>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hint="eastAsia" w:ascii="宋体" w:hAnsi="宋体" w:cs="宋体"/>
                <w:color w:val="auto"/>
                <w:kern w:val="0"/>
                <w:sz w:val="20"/>
                <w:szCs w:val="20"/>
              </w:rPr>
              <w:t>尚未</w:t>
            </w:r>
            <w:r>
              <w:rPr>
                <w:rFonts w:hint="eastAsia" w:ascii="宋体" w:hAnsi="宋体" w:cs="宋体"/>
                <w:color w:val="auto"/>
                <w:kern w:val="0"/>
                <w:sz w:val="20"/>
                <w:szCs w:val="20"/>
              </w:rPr>
              <w:br w:type="textWrapping"/>
            </w:r>
            <w:r>
              <w:rPr>
                <w:rFonts w:hint="eastAsia" w:ascii="宋体" w:hAnsi="宋体" w:cs="宋体"/>
                <w:color w:val="auto"/>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hint="eastAsia" w:ascii="宋体" w:hAnsi="宋体" w:cs="宋体"/>
                <w:color w:val="auto"/>
                <w:kern w:val="0"/>
                <w:sz w:val="20"/>
                <w:szCs w:val="20"/>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hint="eastAsia" w:ascii="宋体" w:hAnsi="宋体" w:cs="宋体"/>
                <w:color w:val="auto"/>
                <w:kern w:val="0"/>
                <w:sz w:val="20"/>
                <w:szCs w:val="20"/>
              </w:rPr>
              <w:t>结果</w:t>
            </w:r>
            <w:r>
              <w:rPr>
                <w:rFonts w:hint="eastAsia" w:ascii="宋体" w:hAnsi="宋体" w:cs="宋体"/>
                <w:color w:val="auto"/>
                <w:kern w:val="0"/>
                <w:sz w:val="20"/>
                <w:szCs w:val="20"/>
              </w:rPr>
              <w:br w:type="textWrapping"/>
            </w:r>
            <w:r>
              <w:rPr>
                <w:rFonts w:hint="eastAsia" w:ascii="宋体" w:hAnsi="宋体" w:cs="宋体"/>
                <w:color w:val="auto"/>
                <w:kern w:val="0"/>
                <w:sz w:val="20"/>
                <w:szCs w:val="20"/>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hint="eastAsia" w:ascii="宋体" w:hAnsi="宋体" w:cs="宋体"/>
                <w:color w:val="auto"/>
                <w:kern w:val="0"/>
                <w:sz w:val="20"/>
                <w:szCs w:val="20"/>
              </w:rPr>
              <w:t>结果</w:t>
            </w:r>
            <w:r>
              <w:rPr>
                <w:rFonts w:hint="eastAsia" w:ascii="宋体" w:hAnsi="宋体" w:cs="宋体"/>
                <w:color w:val="auto"/>
                <w:kern w:val="0"/>
                <w:sz w:val="20"/>
                <w:szCs w:val="20"/>
              </w:rPr>
              <w:br w:type="textWrapping"/>
            </w:r>
            <w:r>
              <w:rPr>
                <w:rFonts w:hint="eastAsia" w:ascii="宋体" w:hAnsi="宋体" w:cs="宋体"/>
                <w:color w:val="auto"/>
                <w:kern w:val="0"/>
                <w:sz w:val="20"/>
                <w:szCs w:val="20"/>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hint="eastAsia" w:ascii="宋体" w:hAnsi="宋体" w:cs="宋体"/>
                <w:color w:val="auto"/>
                <w:kern w:val="0"/>
                <w:sz w:val="20"/>
                <w:szCs w:val="20"/>
              </w:rPr>
              <w:t>其他</w:t>
            </w:r>
            <w:r>
              <w:rPr>
                <w:rFonts w:hint="eastAsia" w:ascii="宋体" w:hAnsi="宋体" w:cs="宋体"/>
                <w:color w:val="auto"/>
                <w:kern w:val="0"/>
                <w:sz w:val="20"/>
                <w:szCs w:val="20"/>
              </w:rPr>
              <w:br w:type="textWrapping"/>
            </w:r>
            <w:r>
              <w:rPr>
                <w:rFonts w:hint="eastAsia" w:ascii="宋体" w:hAnsi="宋体" w:cs="宋体"/>
                <w:color w:val="auto"/>
                <w:kern w:val="0"/>
                <w:sz w:val="20"/>
                <w:szCs w:val="20"/>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hint="eastAsia" w:ascii="宋体" w:hAnsi="宋体" w:cs="宋体"/>
                <w:color w:val="auto"/>
                <w:kern w:val="0"/>
                <w:sz w:val="20"/>
                <w:szCs w:val="20"/>
              </w:rPr>
              <w:t>尚未</w:t>
            </w:r>
            <w:r>
              <w:rPr>
                <w:rFonts w:hint="eastAsia" w:ascii="宋体" w:hAnsi="宋体" w:cs="宋体"/>
                <w:color w:val="auto"/>
                <w:kern w:val="0"/>
                <w:sz w:val="20"/>
                <w:szCs w:val="20"/>
              </w:rPr>
              <w:br w:type="textWrapping"/>
            </w:r>
            <w:r>
              <w:rPr>
                <w:rFonts w:hint="eastAsia" w:ascii="宋体" w:hAnsi="宋体" w:cs="宋体"/>
                <w:color w:val="auto"/>
                <w:kern w:val="0"/>
                <w:sz w:val="20"/>
                <w:szCs w:val="20"/>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hint="eastAsia" w:ascii="宋体" w:hAnsi="宋体" w:cs="宋体"/>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ascii="Calibri" w:hAnsi="Calibri" w:cs="Calibri"/>
                <w:color w:val="auto"/>
                <w:kern w:val="0"/>
                <w:sz w:val="20"/>
                <w:szCs w:val="20"/>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ascii="Calibri" w:hAnsi="Calibri" w:cs="Calibri"/>
                <w:color w:val="auto"/>
                <w:kern w:val="0"/>
                <w:sz w:val="20"/>
                <w:szCs w:val="20"/>
              </w:rPr>
              <w:t>0 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ascii="Calibri" w:hAnsi="Calibri" w:cs="Calibri"/>
                <w:color w:val="auto"/>
                <w:kern w:val="0"/>
                <w:sz w:val="20"/>
                <w:szCs w:val="20"/>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ascii="Calibri" w:hAnsi="Calibri" w:cs="Calibri"/>
                <w:color w:val="auto"/>
                <w:kern w:val="0"/>
                <w:sz w:val="20"/>
                <w:szCs w:val="20"/>
              </w:rPr>
              <w:t>0 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ascii="Calibri" w:hAnsi="Calibri" w:cs="Calibri"/>
                <w:color w:val="auto"/>
                <w:kern w:val="0"/>
                <w:sz w:val="20"/>
                <w:szCs w:val="20"/>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ascii="Calibri" w:hAnsi="Calibri" w:cs="Calibri"/>
                <w:color w:val="auto"/>
                <w:kern w:val="0"/>
                <w:sz w:val="20"/>
                <w:szCs w:val="20"/>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ascii="Calibri" w:hAnsi="Calibri" w:cs="Calibri"/>
                <w:color w:val="auto"/>
                <w:kern w:val="0"/>
                <w:sz w:val="20"/>
                <w:szCs w:val="20"/>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ascii="Calibri" w:hAnsi="Calibri" w:cs="Calibri"/>
                <w:color w:val="auto"/>
                <w:kern w:val="0"/>
                <w:sz w:val="20"/>
                <w:szCs w:val="20"/>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ascii="Calibri" w:hAnsi="Calibri" w:cs="Calibri"/>
                <w:color w:val="auto"/>
                <w:kern w:val="0"/>
                <w:sz w:val="20"/>
                <w:szCs w:val="20"/>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ascii="Calibri" w:hAnsi="Calibri" w:cs="Calibri"/>
                <w:color w:val="auto"/>
                <w:kern w:val="0"/>
                <w:sz w:val="20"/>
                <w:szCs w:val="20"/>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ascii="Calibri" w:hAnsi="Calibri" w:cs="Calibri"/>
                <w:color w:val="auto"/>
                <w:kern w:val="0"/>
                <w:sz w:val="20"/>
                <w:szCs w:val="20"/>
              </w:rPr>
              <w:t> 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ascii="Calibri" w:hAnsi="Calibri" w:cs="Calibri"/>
                <w:color w:val="auto"/>
                <w:kern w:val="0"/>
                <w:sz w:val="20"/>
                <w:szCs w:val="20"/>
              </w:rPr>
              <w:t> 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ascii="Calibri" w:hAnsi="Calibri" w:cs="Calibri"/>
                <w:color w:val="auto"/>
                <w:kern w:val="0"/>
                <w:sz w:val="20"/>
                <w:szCs w:val="20"/>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auto"/>
              </w:rPr>
            </w:pPr>
            <w:r>
              <w:rPr>
                <w:rFonts w:ascii="黑体" w:hAnsi="宋体" w:eastAsia="黑体" w:cs="黑体"/>
                <w:color w:val="auto"/>
                <w:kern w:val="0"/>
                <w:sz w:val="20"/>
                <w:szCs w:val="20"/>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olor w:val="auto"/>
                <w:sz w:val="24"/>
                <w:szCs w:val="24"/>
              </w:rPr>
            </w:pPr>
            <w:r>
              <w:rPr>
                <w:rFonts w:hint="eastAsia" w:ascii="宋体"/>
                <w:color w:val="auto"/>
                <w:sz w:val="24"/>
                <w:szCs w:val="24"/>
              </w:rPr>
              <w:t>0</w:t>
            </w:r>
          </w:p>
        </w:tc>
      </w:tr>
    </w:tbl>
    <w:p>
      <w:pPr>
        <w:widowControl/>
        <w:jc w:val="left"/>
        <w:rPr>
          <w:color w:val="auto"/>
        </w:rPr>
      </w:pPr>
    </w:p>
    <w:p>
      <w:pPr>
        <w:widowControl/>
        <w:spacing w:line="560" w:lineRule="exact"/>
        <w:ind w:firstLine="672" w:firstLineChars="200"/>
        <w:jc w:val="left"/>
        <w:rPr>
          <w:rFonts w:ascii="宋体" w:hAnsi="宋体" w:cs="宋体"/>
          <w:color w:val="auto"/>
          <w:spacing w:val="8"/>
          <w:kern w:val="0"/>
          <w:sz w:val="24"/>
        </w:rPr>
      </w:pPr>
      <w:r>
        <w:rPr>
          <w:rFonts w:ascii="黑体" w:hAnsi="黑体" w:eastAsia="黑体" w:cs="宋体"/>
          <w:color w:val="auto"/>
          <w:spacing w:val="8"/>
          <w:kern w:val="0"/>
          <w:sz w:val="32"/>
          <w:szCs w:val="32"/>
        </w:rPr>
        <w:t>五、存在的主要问题及改进情况</w:t>
      </w:r>
    </w:p>
    <w:p>
      <w:pPr>
        <w:widowControl/>
        <w:spacing w:line="560" w:lineRule="exact"/>
        <w:ind w:firstLine="672" w:firstLineChars="200"/>
        <w:jc w:val="left"/>
        <w:rPr>
          <w:rFonts w:ascii="仿宋_GB2312" w:hAnsi="宋体" w:eastAsia="仿宋_GB2312" w:cs="宋体"/>
          <w:color w:val="auto"/>
          <w:spacing w:val="8"/>
          <w:kern w:val="0"/>
          <w:sz w:val="32"/>
          <w:szCs w:val="32"/>
        </w:rPr>
      </w:pPr>
      <w:r>
        <w:rPr>
          <w:rFonts w:hint="eastAsia" w:ascii="仿宋_GB2312" w:hAnsi="宋体" w:eastAsia="仿宋_GB2312" w:cs="宋体"/>
          <w:color w:val="auto"/>
          <w:spacing w:val="8"/>
          <w:kern w:val="0"/>
          <w:sz w:val="32"/>
          <w:szCs w:val="32"/>
        </w:rPr>
        <w:t>一是街道部门之间信息共享不够顺畅，信息公开的数量和质量有待进一步提高。下一步将加强部门之间的信息共享，提高信息公开工作效率；二是街道各部门依法公开、主动公开意识有待进一步加强。我们将进一步完善工作机制，明确政府信息公开工作机构职责和任务，形成职责更加分明、分工更加合理、各负其责、齐抓共管的工作局面。</w:t>
      </w:r>
    </w:p>
    <w:p>
      <w:pPr>
        <w:widowControl/>
        <w:spacing w:line="560" w:lineRule="exact"/>
        <w:ind w:firstLine="675"/>
        <w:jc w:val="left"/>
        <w:rPr>
          <w:rFonts w:ascii="宋体" w:hAnsi="宋体" w:cs="宋体"/>
          <w:color w:val="auto"/>
          <w:spacing w:val="8"/>
          <w:kern w:val="0"/>
          <w:sz w:val="32"/>
          <w:szCs w:val="32"/>
        </w:rPr>
      </w:pPr>
      <w:r>
        <w:rPr>
          <w:rFonts w:ascii="黑体" w:hAnsi="黑体" w:eastAsia="黑体" w:cs="宋体"/>
          <w:color w:val="auto"/>
          <w:spacing w:val="8"/>
          <w:kern w:val="0"/>
          <w:sz w:val="32"/>
          <w:szCs w:val="32"/>
        </w:rPr>
        <w:t>六、其他需要报告的事项</w:t>
      </w:r>
    </w:p>
    <w:p>
      <w:pPr>
        <w:widowControl/>
        <w:spacing w:line="560" w:lineRule="exact"/>
        <w:jc w:val="left"/>
        <w:rPr>
          <w:rFonts w:ascii="仿宋_GB2312" w:hAnsi="宋体" w:eastAsia="仿宋_GB2312" w:cs="宋体"/>
          <w:color w:val="auto"/>
          <w:spacing w:val="8"/>
          <w:sz w:val="32"/>
          <w:szCs w:val="32"/>
        </w:rPr>
      </w:pPr>
      <w:r>
        <w:rPr>
          <w:rFonts w:ascii="宋体" w:hAnsi="宋体" w:cs="宋体"/>
          <w:color w:val="auto"/>
          <w:spacing w:val="8"/>
          <w:kern w:val="0"/>
          <w:sz w:val="32"/>
          <w:szCs w:val="32"/>
        </w:rPr>
        <w:t>　　</w:t>
      </w:r>
      <w:r>
        <w:rPr>
          <w:rFonts w:hint="eastAsia" w:ascii="仿宋_GB2312" w:hAnsi="宋体" w:eastAsia="仿宋_GB2312" w:cs="宋体"/>
          <w:color w:val="auto"/>
          <w:spacing w:val="8"/>
          <w:sz w:val="32"/>
          <w:szCs w:val="32"/>
        </w:rPr>
        <w:t>202</w:t>
      </w:r>
      <w:r>
        <w:rPr>
          <w:rFonts w:ascii="仿宋_GB2312" w:hAnsi="宋体" w:eastAsia="仿宋_GB2312" w:cs="宋体"/>
          <w:color w:val="auto"/>
          <w:spacing w:val="8"/>
          <w:sz w:val="32"/>
          <w:szCs w:val="32"/>
        </w:rPr>
        <w:t>3</w:t>
      </w:r>
      <w:r>
        <w:rPr>
          <w:rFonts w:hint="eastAsia" w:ascii="仿宋_GB2312" w:hAnsi="宋体" w:eastAsia="仿宋_GB2312" w:cs="宋体"/>
          <w:color w:val="auto"/>
          <w:spacing w:val="8"/>
          <w:sz w:val="32"/>
          <w:szCs w:val="32"/>
        </w:rPr>
        <w:t>年，东花市街道发出收费通知的件数和总金额以及实际收取的总金额均为0。</w:t>
      </w:r>
    </w:p>
    <w:p>
      <w:pPr>
        <w:widowControl/>
        <w:spacing w:line="560" w:lineRule="exact"/>
        <w:jc w:val="left"/>
        <w:rPr>
          <w:rFonts w:ascii="仿宋" w:hAnsi="仿宋" w:eastAsia="仿宋" w:cs="仿宋_GB2312"/>
          <w:color w:val="auto"/>
          <w:sz w:val="32"/>
          <w:szCs w:val="32"/>
        </w:rPr>
      </w:pPr>
      <w:r>
        <w:rPr>
          <w:rFonts w:hint="eastAsia" w:ascii="仿宋_GB2312" w:hAnsi="宋体" w:eastAsia="仿宋_GB2312" w:cs="宋体"/>
          <w:color w:val="auto"/>
          <w:spacing w:val="8"/>
          <w:kern w:val="0"/>
          <w:sz w:val="32"/>
          <w:szCs w:val="32"/>
        </w:rPr>
        <w:t>　　北京市东城区人民政府门户网站网址为http://www.bjdch.gov.cn/，如需了解更多政府信息，请登录查询。</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Times New Roman" w:hAnsi="Times New Roman" w:eastAsia="宋体" w:cs="Times New Roman"/>
        <w:kern w:val="2"/>
        <w:sz w:val="18"/>
        <w:szCs w:val="18"/>
        <w:lang w:val="en-US" w:eastAsia="zh-CN" w:bidi="ar-SA"/>
      </w:rPr>
      <w:pict>
        <v:rect id="文本框 9" o:spid="_x0000_s4097" o:spt="1"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172A27"/>
    <w:rsid w:val="0001320E"/>
    <w:rsid w:val="000157E9"/>
    <w:rsid w:val="000A3B2D"/>
    <w:rsid w:val="000C3C7A"/>
    <w:rsid w:val="001379FD"/>
    <w:rsid w:val="001428B5"/>
    <w:rsid w:val="00170483"/>
    <w:rsid w:val="00172A27"/>
    <w:rsid w:val="001F6AC2"/>
    <w:rsid w:val="00223719"/>
    <w:rsid w:val="0022503E"/>
    <w:rsid w:val="00235231"/>
    <w:rsid w:val="002650CA"/>
    <w:rsid w:val="00281879"/>
    <w:rsid w:val="002B77AA"/>
    <w:rsid w:val="002C43D6"/>
    <w:rsid w:val="003210C4"/>
    <w:rsid w:val="00361147"/>
    <w:rsid w:val="00393EEB"/>
    <w:rsid w:val="003C14B2"/>
    <w:rsid w:val="003C4D77"/>
    <w:rsid w:val="004068E2"/>
    <w:rsid w:val="00414561"/>
    <w:rsid w:val="00426FFD"/>
    <w:rsid w:val="00440131"/>
    <w:rsid w:val="00440F2B"/>
    <w:rsid w:val="004935A2"/>
    <w:rsid w:val="004A4BF4"/>
    <w:rsid w:val="004A7262"/>
    <w:rsid w:val="004B6409"/>
    <w:rsid w:val="00511EF0"/>
    <w:rsid w:val="0053348E"/>
    <w:rsid w:val="00556892"/>
    <w:rsid w:val="005A0405"/>
    <w:rsid w:val="005A44C4"/>
    <w:rsid w:val="005A597F"/>
    <w:rsid w:val="005B5666"/>
    <w:rsid w:val="005D581D"/>
    <w:rsid w:val="005E0BED"/>
    <w:rsid w:val="005E4970"/>
    <w:rsid w:val="005F3880"/>
    <w:rsid w:val="005F7652"/>
    <w:rsid w:val="00603278"/>
    <w:rsid w:val="006470F9"/>
    <w:rsid w:val="00657F78"/>
    <w:rsid w:val="00674E23"/>
    <w:rsid w:val="006D3D79"/>
    <w:rsid w:val="007260BD"/>
    <w:rsid w:val="0072720E"/>
    <w:rsid w:val="00757FCE"/>
    <w:rsid w:val="007862D6"/>
    <w:rsid w:val="007A180B"/>
    <w:rsid w:val="008272DB"/>
    <w:rsid w:val="0083335C"/>
    <w:rsid w:val="008B1A2E"/>
    <w:rsid w:val="008B1BEA"/>
    <w:rsid w:val="008C17EF"/>
    <w:rsid w:val="008F38B1"/>
    <w:rsid w:val="00927DA7"/>
    <w:rsid w:val="009360C3"/>
    <w:rsid w:val="009B5477"/>
    <w:rsid w:val="009D6BAE"/>
    <w:rsid w:val="009F7EB0"/>
    <w:rsid w:val="00A02280"/>
    <w:rsid w:val="00A0671C"/>
    <w:rsid w:val="00A31072"/>
    <w:rsid w:val="00A511DA"/>
    <w:rsid w:val="00A93CE4"/>
    <w:rsid w:val="00A96017"/>
    <w:rsid w:val="00AA5028"/>
    <w:rsid w:val="00AC560A"/>
    <w:rsid w:val="00AD2CEC"/>
    <w:rsid w:val="00AF09C0"/>
    <w:rsid w:val="00B020D1"/>
    <w:rsid w:val="00B63A76"/>
    <w:rsid w:val="00B83A59"/>
    <w:rsid w:val="00B944E7"/>
    <w:rsid w:val="00BD1EFA"/>
    <w:rsid w:val="00BE1A3A"/>
    <w:rsid w:val="00C069A9"/>
    <w:rsid w:val="00C13FCC"/>
    <w:rsid w:val="00C16F6D"/>
    <w:rsid w:val="00C22152"/>
    <w:rsid w:val="00C46DD7"/>
    <w:rsid w:val="00C64613"/>
    <w:rsid w:val="00C71943"/>
    <w:rsid w:val="00C73478"/>
    <w:rsid w:val="00CC3ACE"/>
    <w:rsid w:val="00CD500A"/>
    <w:rsid w:val="00CE3514"/>
    <w:rsid w:val="00D03B97"/>
    <w:rsid w:val="00D754D8"/>
    <w:rsid w:val="00D86A7B"/>
    <w:rsid w:val="00DB429A"/>
    <w:rsid w:val="00DC02A1"/>
    <w:rsid w:val="00DC3BB6"/>
    <w:rsid w:val="00DE4A16"/>
    <w:rsid w:val="00DF54EE"/>
    <w:rsid w:val="00E06636"/>
    <w:rsid w:val="00E128DA"/>
    <w:rsid w:val="00E204CC"/>
    <w:rsid w:val="00E40B8D"/>
    <w:rsid w:val="00E47DF8"/>
    <w:rsid w:val="00F039F4"/>
    <w:rsid w:val="00F401B9"/>
    <w:rsid w:val="00FE0CBB"/>
    <w:rsid w:val="012E1D1C"/>
    <w:rsid w:val="01366879"/>
    <w:rsid w:val="015E68D1"/>
    <w:rsid w:val="01D0041C"/>
    <w:rsid w:val="020A4115"/>
    <w:rsid w:val="02B73E03"/>
    <w:rsid w:val="02FD6B22"/>
    <w:rsid w:val="0346726F"/>
    <w:rsid w:val="03AA3F18"/>
    <w:rsid w:val="03EF1F95"/>
    <w:rsid w:val="0444100C"/>
    <w:rsid w:val="04B871DC"/>
    <w:rsid w:val="04C523E5"/>
    <w:rsid w:val="04D2646E"/>
    <w:rsid w:val="04EF0C37"/>
    <w:rsid w:val="056106C1"/>
    <w:rsid w:val="05927F9F"/>
    <w:rsid w:val="05FA4264"/>
    <w:rsid w:val="061043AF"/>
    <w:rsid w:val="063D400F"/>
    <w:rsid w:val="07173589"/>
    <w:rsid w:val="074E580C"/>
    <w:rsid w:val="07B7001C"/>
    <w:rsid w:val="085B374C"/>
    <w:rsid w:val="0964117B"/>
    <w:rsid w:val="098E7B1F"/>
    <w:rsid w:val="09BA5C05"/>
    <w:rsid w:val="0A5449BD"/>
    <w:rsid w:val="0AAA25CE"/>
    <w:rsid w:val="0B6017B9"/>
    <w:rsid w:val="0D1E1A5C"/>
    <w:rsid w:val="0DB23146"/>
    <w:rsid w:val="0E921A87"/>
    <w:rsid w:val="0EE37632"/>
    <w:rsid w:val="0F221B64"/>
    <w:rsid w:val="10F70AE6"/>
    <w:rsid w:val="112D7B80"/>
    <w:rsid w:val="11935B60"/>
    <w:rsid w:val="11963EEB"/>
    <w:rsid w:val="11EC0FF2"/>
    <w:rsid w:val="123654D6"/>
    <w:rsid w:val="125664A3"/>
    <w:rsid w:val="12DA4F7E"/>
    <w:rsid w:val="12F72A57"/>
    <w:rsid w:val="1336303D"/>
    <w:rsid w:val="14643633"/>
    <w:rsid w:val="14A03A72"/>
    <w:rsid w:val="14F134AE"/>
    <w:rsid w:val="15042E03"/>
    <w:rsid w:val="15171D38"/>
    <w:rsid w:val="157F2297"/>
    <w:rsid w:val="16176ECF"/>
    <w:rsid w:val="167003B3"/>
    <w:rsid w:val="168C2214"/>
    <w:rsid w:val="170C0A75"/>
    <w:rsid w:val="17731AF6"/>
    <w:rsid w:val="186F5E9F"/>
    <w:rsid w:val="18A44C16"/>
    <w:rsid w:val="18ED6D70"/>
    <w:rsid w:val="196521CB"/>
    <w:rsid w:val="19794CED"/>
    <w:rsid w:val="197D2FBA"/>
    <w:rsid w:val="19B74C1D"/>
    <w:rsid w:val="1A2C2B47"/>
    <w:rsid w:val="1C222D36"/>
    <w:rsid w:val="1C2861BF"/>
    <w:rsid w:val="1C47275C"/>
    <w:rsid w:val="1C850733"/>
    <w:rsid w:val="1CC7172E"/>
    <w:rsid w:val="1D627757"/>
    <w:rsid w:val="1D746ACB"/>
    <w:rsid w:val="1DBE6FEE"/>
    <w:rsid w:val="1DE37776"/>
    <w:rsid w:val="1E3D6E3A"/>
    <w:rsid w:val="1E417B45"/>
    <w:rsid w:val="1E7366AD"/>
    <w:rsid w:val="1FD01E46"/>
    <w:rsid w:val="200805B6"/>
    <w:rsid w:val="200B59E9"/>
    <w:rsid w:val="2039313C"/>
    <w:rsid w:val="207957D5"/>
    <w:rsid w:val="20F4351F"/>
    <w:rsid w:val="216B7EB1"/>
    <w:rsid w:val="2195027C"/>
    <w:rsid w:val="21EE06C0"/>
    <w:rsid w:val="220E5FDF"/>
    <w:rsid w:val="23B53941"/>
    <w:rsid w:val="25AA7AA2"/>
    <w:rsid w:val="26B92096"/>
    <w:rsid w:val="26BF3ED6"/>
    <w:rsid w:val="26DC5ACE"/>
    <w:rsid w:val="26E24359"/>
    <w:rsid w:val="275C569C"/>
    <w:rsid w:val="281C4726"/>
    <w:rsid w:val="28DA533A"/>
    <w:rsid w:val="28EC21AD"/>
    <w:rsid w:val="29284F7F"/>
    <w:rsid w:val="293D7A75"/>
    <w:rsid w:val="295A6C09"/>
    <w:rsid w:val="29A0310F"/>
    <w:rsid w:val="2AA7627A"/>
    <w:rsid w:val="2B9844FA"/>
    <w:rsid w:val="2C361B86"/>
    <w:rsid w:val="2CAD5005"/>
    <w:rsid w:val="2CEB54A4"/>
    <w:rsid w:val="2D047420"/>
    <w:rsid w:val="2D213177"/>
    <w:rsid w:val="2D35073C"/>
    <w:rsid w:val="2D8B2ED8"/>
    <w:rsid w:val="2EDD442B"/>
    <w:rsid w:val="2F2B43BA"/>
    <w:rsid w:val="2F5B44B1"/>
    <w:rsid w:val="30040E1C"/>
    <w:rsid w:val="30806B9E"/>
    <w:rsid w:val="316B1BA5"/>
    <w:rsid w:val="33A10D3B"/>
    <w:rsid w:val="34B11EE1"/>
    <w:rsid w:val="35E04767"/>
    <w:rsid w:val="35EB0CAE"/>
    <w:rsid w:val="36364643"/>
    <w:rsid w:val="367F18D1"/>
    <w:rsid w:val="36996009"/>
    <w:rsid w:val="36A63F38"/>
    <w:rsid w:val="36D5513F"/>
    <w:rsid w:val="3707670D"/>
    <w:rsid w:val="37242B85"/>
    <w:rsid w:val="37342E1F"/>
    <w:rsid w:val="373A5D63"/>
    <w:rsid w:val="379F3AAA"/>
    <w:rsid w:val="37B82A79"/>
    <w:rsid w:val="37D261A1"/>
    <w:rsid w:val="38477332"/>
    <w:rsid w:val="38DD365A"/>
    <w:rsid w:val="39C84EDD"/>
    <w:rsid w:val="39CF7D5E"/>
    <w:rsid w:val="3A3B5334"/>
    <w:rsid w:val="3A3D4E9C"/>
    <w:rsid w:val="3A89507E"/>
    <w:rsid w:val="3B00160D"/>
    <w:rsid w:val="3B43770F"/>
    <w:rsid w:val="3BA06262"/>
    <w:rsid w:val="3C8342D6"/>
    <w:rsid w:val="3D0059A4"/>
    <w:rsid w:val="3ED62027"/>
    <w:rsid w:val="3F015BC8"/>
    <w:rsid w:val="3F8024B0"/>
    <w:rsid w:val="3F827426"/>
    <w:rsid w:val="3FE56D85"/>
    <w:rsid w:val="408A4515"/>
    <w:rsid w:val="40CA664F"/>
    <w:rsid w:val="41336AA7"/>
    <w:rsid w:val="418E5D81"/>
    <w:rsid w:val="41A82BB0"/>
    <w:rsid w:val="41BB51B1"/>
    <w:rsid w:val="422B13F4"/>
    <w:rsid w:val="42627B5A"/>
    <w:rsid w:val="44D7260E"/>
    <w:rsid w:val="44ED1F00"/>
    <w:rsid w:val="44F32561"/>
    <w:rsid w:val="45D8718A"/>
    <w:rsid w:val="46867F21"/>
    <w:rsid w:val="46957D4E"/>
    <w:rsid w:val="47097095"/>
    <w:rsid w:val="472D6E53"/>
    <w:rsid w:val="47B972B3"/>
    <w:rsid w:val="48624CD1"/>
    <w:rsid w:val="49101846"/>
    <w:rsid w:val="49990D9C"/>
    <w:rsid w:val="49B426FF"/>
    <w:rsid w:val="4A8C04FE"/>
    <w:rsid w:val="4AA71688"/>
    <w:rsid w:val="4B1D1510"/>
    <w:rsid w:val="4BAA4F5C"/>
    <w:rsid w:val="4BC93434"/>
    <w:rsid w:val="4C1D6195"/>
    <w:rsid w:val="4C2A1049"/>
    <w:rsid w:val="4C6F71B7"/>
    <w:rsid w:val="4CB06383"/>
    <w:rsid w:val="4D3B1B57"/>
    <w:rsid w:val="4D937BF3"/>
    <w:rsid w:val="4DD11B65"/>
    <w:rsid w:val="4E7735C7"/>
    <w:rsid w:val="4E9F1280"/>
    <w:rsid w:val="4F330EA7"/>
    <w:rsid w:val="4FC07211"/>
    <w:rsid w:val="4FCC31D7"/>
    <w:rsid w:val="50621E6E"/>
    <w:rsid w:val="50D96BA2"/>
    <w:rsid w:val="5106403B"/>
    <w:rsid w:val="51406490"/>
    <w:rsid w:val="51FD0EA1"/>
    <w:rsid w:val="52D43103"/>
    <w:rsid w:val="535A169B"/>
    <w:rsid w:val="53EE232C"/>
    <w:rsid w:val="544B69CF"/>
    <w:rsid w:val="554524F7"/>
    <w:rsid w:val="55805A3F"/>
    <w:rsid w:val="575E01A1"/>
    <w:rsid w:val="57A713D9"/>
    <w:rsid w:val="58E20764"/>
    <w:rsid w:val="59FA0BA4"/>
    <w:rsid w:val="5A686FFE"/>
    <w:rsid w:val="5ACA4AD5"/>
    <w:rsid w:val="5B146D38"/>
    <w:rsid w:val="5B40576E"/>
    <w:rsid w:val="5C85343F"/>
    <w:rsid w:val="5E011730"/>
    <w:rsid w:val="5F587D4C"/>
    <w:rsid w:val="5FB55714"/>
    <w:rsid w:val="606E6196"/>
    <w:rsid w:val="60EA3D13"/>
    <w:rsid w:val="60F2511B"/>
    <w:rsid w:val="616E3D42"/>
    <w:rsid w:val="61915DA2"/>
    <w:rsid w:val="61964DBE"/>
    <w:rsid w:val="61CB76EB"/>
    <w:rsid w:val="633C39DB"/>
    <w:rsid w:val="63847E28"/>
    <w:rsid w:val="64690D42"/>
    <w:rsid w:val="64972B08"/>
    <w:rsid w:val="65432745"/>
    <w:rsid w:val="66D7084A"/>
    <w:rsid w:val="67037D1B"/>
    <w:rsid w:val="671C17CC"/>
    <w:rsid w:val="674C7846"/>
    <w:rsid w:val="67716B82"/>
    <w:rsid w:val="67FE7A8E"/>
    <w:rsid w:val="683F3FB4"/>
    <w:rsid w:val="68917716"/>
    <w:rsid w:val="68A87AFC"/>
    <w:rsid w:val="68B1527B"/>
    <w:rsid w:val="69416DFC"/>
    <w:rsid w:val="69D46E61"/>
    <w:rsid w:val="6A775F42"/>
    <w:rsid w:val="6B4C7395"/>
    <w:rsid w:val="6B835F7B"/>
    <w:rsid w:val="6BBD327C"/>
    <w:rsid w:val="6BE85A5E"/>
    <w:rsid w:val="6D0E597B"/>
    <w:rsid w:val="6D6B40FB"/>
    <w:rsid w:val="6DC72BAB"/>
    <w:rsid w:val="6DF403CC"/>
    <w:rsid w:val="6E857151"/>
    <w:rsid w:val="6E8C5810"/>
    <w:rsid w:val="6F1B4FFD"/>
    <w:rsid w:val="70222C83"/>
    <w:rsid w:val="712F6790"/>
    <w:rsid w:val="719F284F"/>
    <w:rsid w:val="71B5409B"/>
    <w:rsid w:val="72147C4D"/>
    <w:rsid w:val="727212E6"/>
    <w:rsid w:val="73265008"/>
    <w:rsid w:val="74610F82"/>
    <w:rsid w:val="74F97EF9"/>
    <w:rsid w:val="75342D58"/>
    <w:rsid w:val="76326A40"/>
    <w:rsid w:val="76CD3866"/>
    <w:rsid w:val="77776320"/>
    <w:rsid w:val="77921B28"/>
    <w:rsid w:val="77DB0A3A"/>
    <w:rsid w:val="77E3358E"/>
    <w:rsid w:val="789D3289"/>
    <w:rsid w:val="79EA0AFF"/>
    <w:rsid w:val="7B267258"/>
    <w:rsid w:val="7BDF75D6"/>
    <w:rsid w:val="7C666463"/>
    <w:rsid w:val="7C8E6D8A"/>
    <w:rsid w:val="7D455C4D"/>
    <w:rsid w:val="7D64084D"/>
    <w:rsid w:val="7EAB1286"/>
    <w:rsid w:val="7F4B25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7"/>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100" w:beforeAutospacing="1" w:after="100" w:afterAutospacing="1"/>
      <w:jc w:val="left"/>
    </w:pPr>
    <w:rPr>
      <w:kern w:val="0"/>
      <w:sz w:val="24"/>
    </w:rPr>
  </w:style>
  <w:style w:type="character" w:styleId="8">
    <w:name w:val="page number"/>
    <w:basedOn w:val="7"/>
    <w:unhideWhenUsed/>
    <w:qFormat/>
    <w:uiPriority w:val="99"/>
  </w:style>
  <w:style w:type="character" w:styleId="9">
    <w:name w:val="Hyperlink"/>
    <w:basedOn w:val="7"/>
    <w:unhideWhenUsed/>
    <w:qFormat/>
    <w:uiPriority w:val="0"/>
    <w:rPr>
      <w:color w:val="000000"/>
      <w:u w:val="non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Char Char1"/>
    <w:basedOn w:val="1"/>
    <w:qFormat/>
    <w:uiPriority w:val="0"/>
    <w:rPr>
      <w:rFonts w:ascii="Tahoma" w:hAnsi="Tahoma"/>
      <w:sz w:val="24"/>
      <w:szCs w:val="20"/>
    </w:rPr>
  </w:style>
  <w:style w:type="paragraph" w:customStyle="1" w:styleId="13">
    <w:name w:val="_Style 6"/>
    <w:basedOn w:val="1"/>
    <w:qFormat/>
    <w:uiPriority w:val="0"/>
    <w:rPr>
      <w:szCs w:val="20"/>
    </w:rPr>
  </w:style>
  <w:style w:type="paragraph" w:customStyle="1" w:styleId="14">
    <w:name w:val="1"/>
    <w:basedOn w:val="1"/>
    <w:qFormat/>
    <w:uiPriority w:val="0"/>
    <w:rPr>
      <w:rFonts w:ascii="Tahoma" w:hAnsi="Tahoma"/>
      <w:sz w:val="24"/>
      <w:szCs w:val="20"/>
    </w:rPr>
  </w:style>
  <w:style w:type="character" w:customStyle="1" w:styleId="15">
    <w:name w:val="页眉 字符"/>
    <w:basedOn w:val="7"/>
    <w:link w:val="5"/>
    <w:qFormat/>
    <w:uiPriority w:val="99"/>
    <w:rPr>
      <w:rFonts w:ascii="Times New Roman" w:hAnsi="Times New Roman" w:eastAsia="宋体" w:cs="Times New Roman"/>
      <w:sz w:val="18"/>
      <w:szCs w:val="18"/>
    </w:rPr>
  </w:style>
  <w:style w:type="character" w:customStyle="1" w:styleId="16">
    <w:name w:val="页脚 字符"/>
    <w:basedOn w:val="7"/>
    <w:link w:val="4"/>
    <w:qFormat/>
    <w:uiPriority w:val="99"/>
    <w:rPr>
      <w:rFonts w:ascii="Times New Roman" w:hAnsi="Times New Roman" w:eastAsia="宋体" w:cs="Times New Roman"/>
      <w:sz w:val="18"/>
      <w:szCs w:val="18"/>
    </w:rPr>
  </w:style>
  <w:style w:type="character" w:customStyle="1" w:styleId="17">
    <w:name w:val="批注框文本 字符"/>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80FF8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409</Words>
  <Characters>2337</Characters>
  <Lines>19</Lines>
  <Paragraphs>5</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2019-03-21T10:11:00Z</dcterms:created>
  <dc:creator>李曼</dc:creator>
  <cp:lastModifiedBy>沈子征</cp:lastModifiedBy>
  <cp:lastPrinted>2019-10-11T08:27:00Z</cp:lastPrinted>
  <dcterms:modified xsi:type="dcterms:W3CDTF">2024-01-18T08:07:01Z</dcterms:modified>
  <dc:title>关于抓紧整改政务新媒体的通知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