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3"/>
          <w:szCs w:val="43"/>
        </w:rPr>
        <w:t>北京市东城区人民政府东四街道办事处</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widowControl/>
        <w:wordWrap/>
        <w:adjustRightInd/>
        <w:snapToGrid/>
        <w:spacing w:line="560" w:lineRule="exact"/>
        <w:jc w:val="left"/>
        <w:textAlignment w:val="auto"/>
        <w:rPr>
          <w:rFonts w:ascii="微软雅黑" w:hAnsi="微软雅黑" w:eastAsia="微软雅黑" w:cs="宋体"/>
          <w:color w:val="404040"/>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wordWrap/>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wordWrap/>
        <w:adjustRightInd/>
        <w:snapToGrid/>
        <w:spacing w:line="560" w:lineRule="exact"/>
        <w:ind w:firstLine="675"/>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lang w:val="en-US" w:eastAsia="zh-CN"/>
        </w:rPr>
        <w:t>2023年，东四街道全面贯彻党的二十大精神，</w:t>
      </w:r>
      <w:r>
        <w:rPr>
          <w:rFonts w:hint="eastAsia" w:ascii="仿宋_GB2312" w:hAnsi="宋体" w:eastAsia="仿宋_GB2312" w:cs="宋体"/>
          <w:spacing w:val="8"/>
          <w:kern w:val="0"/>
          <w:sz w:val="32"/>
          <w:szCs w:val="32"/>
        </w:rPr>
        <w:t>严格落实</w:t>
      </w:r>
      <w:r>
        <w:rPr>
          <w:rFonts w:hint="eastAsia" w:ascii="仿宋_GB2312" w:hAnsi="Arial" w:eastAsia="仿宋_GB2312" w:cs="仿宋_GB2312"/>
          <w:color w:val="000000"/>
          <w:kern w:val="0"/>
          <w:sz w:val="32"/>
          <w:szCs w:val="32"/>
          <w:lang w:val="en-US" w:eastAsia="zh-CN"/>
        </w:rPr>
        <w:t>《政府信息公开条例》《北京市东城区2023年政务公开工作要点》要求，</w:t>
      </w:r>
      <w:r>
        <w:rPr>
          <w:rFonts w:hint="eastAsia" w:ascii="仿宋_GB2312" w:hAnsi="Arial" w:eastAsia="仿宋_GB2312" w:cs="仿宋_GB2312"/>
          <w:color w:val="000000"/>
          <w:kern w:val="0"/>
          <w:sz w:val="32"/>
          <w:szCs w:val="32"/>
          <w:highlight w:val="none"/>
          <w:lang w:val="en-US" w:eastAsia="zh-CN"/>
        </w:rPr>
        <w:t>强化政府信息管理与监督，规范政府信息公开水平。</w:t>
      </w:r>
    </w:p>
    <w:p>
      <w:pPr>
        <w:widowControl/>
        <w:numPr>
          <w:ilvl w:val="0"/>
          <w:numId w:val="1"/>
        </w:numPr>
        <w:wordWrap/>
        <w:adjustRightInd/>
        <w:snapToGrid/>
        <w:spacing w:line="560" w:lineRule="exact"/>
        <w:ind w:firstLine="675"/>
        <w:jc w:val="left"/>
        <w:textAlignment w:val="auto"/>
        <w:rPr>
          <w:rFonts w:hint="eastAsia" w:ascii="楷体_GB2312" w:hAnsi="楷体_GB2312" w:eastAsia="楷体_GB2312" w:cs="楷体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highlight w:val="none"/>
          <w:lang w:val="en-US" w:eastAsia="zh-CN"/>
        </w:rPr>
        <w:t>组织领导情况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仿宋_GB2312"/>
          <w:color w:val="000000"/>
          <w:kern w:val="0"/>
          <w:sz w:val="32"/>
          <w:szCs w:val="32"/>
          <w:highlight w:val="none"/>
          <w:lang w:val="en-US" w:eastAsia="zh-CN" w:bidi="ar-SA"/>
        </w:rPr>
      </w:pPr>
      <w:r>
        <w:rPr>
          <w:rFonts w:hint="eastAsia" w:ascii="仿宋_GB2312" w:hAnsi="Arial" w:eastAsia="仿宋_GB2312" w:cs="仿宋_GB2312"/>
          <w:color w:val="000000"/>
          <w:kern w:val="0"/>
          <w:sz w:val="32"/>
          <w:szCs w:val="32"/>
          <w:highlight w:val="none"/>
          <w:lang w:val="en-US" w:eastAsia="zh-CN" w:bidi="ar-SA"/>
        </w:rPr>
        <w:t>深化组织领导工作，由街道主要领导、主管领导带头抓，综合办公室牵头干，各部门按职责落实，确保信息发布更新及时，切实把好政治关、政策关、内容关。</w:t>
      </w:r>
    </w:p>
    <w:p>
      <w:pPr>
        <w:widowControl/>
        <w:numPr>
          <w:ilvl w:val="0"/>
          <w:numId w:val="1"/>
        </w:numPr>
        <w:wordWrap/>
        <w:adjustRightInd/>
        <w:snapToGrid/>
        <w:spacing w:line="560" w:lineRule="exact"/>
        <w:ind w:firstLine="675"/>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主动公开情况</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default"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1.重要民生事项信息</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及时公开2023年街道重要民生事项信息，每月公开低保、特困人数及资金发放情况；每季度公开医疗救助临时救助人数及资金发放情况；每年公开高等教育补助人数及资金发放情况。</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2.财政性资金管理使用情况</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按时公开2023年财政预算信息和2022年财政决算信息。</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3.办事处机关职能、机构设置、办公地址、办公时间、联系方式、领导职务</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通过东城区政府网站及时更新办事处上述信息。</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4.各部门工作信息</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在东城区政府网站主动公开诚信建设类信息30条、部门工作信息100余条、重点领域社会救助类信息33条、行政处罚类信息50条、违规电动三四轮车公示147条。</w:t>
      </w:r>
    </w:p>
    <w:p>
      <w:pPr>
        <w:pStyle w:val="6"/>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75" w:firstLineChars="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依申请公开</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default"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2023年街道受理公民、法人和其他组织提出的依申请公开申请2件。其中部分公开1件，不予公开1件。均按照《中华人民共和国政府信息公开条例》在规定时间内有效办理。</w:t>
      </w:r>
    </w:p>
    <w:p>
      <w:pPr>
        <w:pStyle w:val="6"/>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75" w:firstLineChars="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政府信息管理与监督</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Chars="0"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坚持“先审查、后公开”，严格审查对外公开信息，并根据时限及时公开部门动态，确保发布信息的准确性和有效性。加大对政府信息公开工作指导和监督力度，严格按照保密审查程序对主动公开、依申请公开内容进行保密审核。</w:t>
      </w:r>
    </w:p>
    <w:p>
      <w:pPr>
        <w:pStyle w:val="6"/>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75" w:firstLineChars="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政府信息公开平台建设</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1.在街道便民服务中心设立政务公开窗口、文件索取台、电子触摸屏，为居民提供政策查询、信息公开申请等服务；举办政务服务开放日活动，丰富居民信息获取渠道。</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2.强化平台内容保障，由专人负责政府信息公开专栏和数字东城网站运营及维护，动态监测网站情况。</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3.通过微信公众号“掌上东四”、东城区人民政府门户网站等渠道主动公开信息；通过在社区宣传布告栏、街道便民服务中心张贴政府公报、摆放政府公报宣传折页等方式，拓展政府公报的传播渠道和宣传范围。</w:t>
      </w:r>
    </w:p>
    <w:p>
      <w:pPr>
        <w:pStyle w:val="6"/>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75" w:firstLineChars="0"/>
        <w:jc w:val="left"/>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教育培训</w:t>
      </w:r>
    </w:p>
    <w:p>
      <w:pPr>
        <w:pStyle w:val="6"/>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left"/>
        <w:textAlignment w:val="auto"/>
        <w:rPr>
          <w:rFonts w:hint="eastAsia" w:ascii="仿宋_GB2312" w:hAnsi="Arial" w:eastAsia="仿宋_GB2312" w:cs="仿宋_GB2312"/>
          <w:color w:val="000000"/>
          <w:kern w:val="0"/>
          <w:sz w:val="32"/>
          <w:szCs w:val="32"/>
          <w:lang w:val="en-US" w:eastAsia="zh-CN"/>
        </w:rPr>
      </w:pPr>
      <w:r>
        <w:rPr>
          <w:rFonts w:hint="eastAsia" w:ascii="仿宋_GB2312" w:hAnsi="Arial" w:eastAsia="仿宋_GB2312" w:cs="仿宋_GB2312"/>
          <w:color w:val="000000"/>
          <w:kern w:val="0"/>
          <w:sz w:val="32"/>
          <w:szCs w:val="32"/>
          <w:lang w:val="en-US" w:eastAsia="zh-CN"/>
        </w:rPr>
        <w:t>街道积极组织开展信息公开工作业务培训，通过开展机关干部“每月一训”、书记讲党课、重点工作部署会等方式对《中华人民共和国政府信息公开条例》及《北京市东城区2023年政务公开工作要点》进行集中学习，及时传达区级会议精神，不断深化重点领域信息公开，推进数字政务平台建设。</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1"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c>
          <w:tcPr>
            <w:tcW w:w="689"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ascii="Calibri" w:hAnsi="Calibri" w:cs="Calibri"/>
                <w:kern w:val="0"/>
                <w:sz w:val="20"/>
                <w:szCs w:val="20"/>
                <w:lang w:val="en-US" w:eastAsia="zh-CN"/>
              </w:rPr>
              <w:t> </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wordWrap/>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wordWrap/>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highlight w:val="none"/>
          <w:lang w:eastAsia="zh-CN"/>
        </w:rPr>
        <w:t>存在的主要问题：一是信息公开形式简单。</w:t>
      </w:r>
      <w:bookmarkStart w:id="0" w:name="_GoBack"/>
      <w:bookmarkEnd w:id="0"/>
      <w:r>
        <w:rPr>
          <w:rFonts w:hint="eastAsia" w:ascii="仿宋_GB2312" w:hAnsi="宋体" w:eastAsia="仿宋_GB2312" w:cs="宋体"/>
          <w:spacing w:val="8"/>
          <w:kern w:val="0"/>
          <w:sz w:val="32"/>
          <w:szCs w:val="32"/>
          <w:highlight w:val="none"/>
          <w:lang w:eastAsia="zh-CN"/>
        </w:rPr>
        <w:t>以图文、视频形式公开的少。二是工作人员专业性有待提升。对信息公开条例学习不够透彻</w:t>
      </w:r>
      <w:r>
        <w:rPr>
          <w:rFonts w:hint="eastAsia" w:ascii="仿宋_GB2312" w:hAnsi="宋体" w:eastAsia="仿宋_GB2312" w:cs="宋体"/>
          <w:spacing w:val="8"/>
          <w:kern w:val="0"/>
          <w:sz w:val="32"/>
          <w:szCs w:val="32"/>
          <w:lang w:eastAsia="zh-CN"/>
        </w:rPr>
        <w:t>，与工作实际联系不够紧密。</w:t>
      </w:r>
    </w:p>
    <w:p>
      <w:pPr>
        <w:pStyle w:val="2"/>
        <w:widowControl w:val="0"/>
        <w:wordWrap/>
        <w:adjustRightInd/>
        <w:snapToGrid/>
        <w:spacing w:line="560" w:lineRule="exact"/>
        <w:ind w:firstLine="672" w:firstLineChars="200"/>
        <w:textAlignment w:val="auto"/>
        <w:rPr>
          <w:rFonts w:ascii="黑体" w:hAnsi="黑体" w:eastAsia="黑体" w:cs="宋体"/>
          <w:spacing w:val="8"/>
          <w:kern w:val="0"/>
          <w:sz w:val="32"/>
          <w:szCs w:val="32"/>
        </w:rPr>
      </w:pPr>
      <w:r>
        <w:rPr>
          <w:rFonts w:hint="eastAsia" w:ascii="仿宋_GB2312" w:hAnsi="宋体" w:eastAsia="仿宋_GB2312" w:cs="宋体"/>
          <w:spacing w:val="8"/>
          <w:kern w:val="0"/>
          <w:sz w:val="32"/>
          <w:szCs w:val="32"/>
          <w:lang w:val="en-US" w:eastAsia="zh-CN" w:bidi="ar-SA"/>
        </w:rPr>
        <w:t>改进情况：针对以上问题，我街道将进一步做好信息公开工作的统筹分工，确保信息及时准确发布。一是组织信息公开负责同志以及各部门信息员定期对《中华人民共和国政府信息公开条例》进行深入研究，统一信息报送机制，提高街道各部门信息报送专业性。二是除常态化信息更新外，通过发布活动图片、视频等，进一步丰富信息公开形式，提升公开效果。</w:t>
      </w:r>
    </w:p>
    <w:p>
      <w:pPr>
        <w:widowControl/>
        <w:wordWrap/>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wordWrap/>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东四街道本年度发出收费通知的件数和总金额以及实际收取的总金额均为0。</w:t>
      </w:r>
    </w:p>
    <w:p>
      <w:pPr>
        <w:widowControl/>
        <w:wordWrap/>
        <w:adjustRightInd/>
        <w:snapToGrid/>
        <w:spacing w:line="560" w:lineRule="exact"/>
        <w:ind w:firstLine="672" w:firstLineChars="200"/>
        <w:jc w:val="left"/>
        <w:textAlignment w:val="auto"/>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北京市东城区人民政府门户网站网址为http://www.bjdch.gov.cn/，如需了解更多政府信息，请登录查询。</w:t>
      </w:r>
    </w:p>
    <w:p>
      <w:pPr>
        <w:wordWrap/>
        <w:adjustRightInd/>
        <w:snapToGrid/>
        <w:spacing w:line="560" w:lineRule="exact"/>
        <w:textAlignment w:val="auto"/>
      </w:pP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color w:val="000000"/>
          <w:sz w:val="32"/>
          <w:szCs w:val="32"/>
        </w:rPr>
      </w:pP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东四街道办事处</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2023年1月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color w:val="000000"/>
          <w:sz w:val="32"/>
          <w:szCs w:val="32"/>
        </w:rPr>
      </w:pP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"http://172.25.65.106/manageweb/edit.content.StreamOutPartsAction.action?contentId=13074187&amp;partId=13074212"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sz w:val="32"/>
          <w:szCs w:val="32"/>
        </w:rPr>
        <w:t>东四街道办事处202</w:t>
      </w:r>
      <w:r>
        <w:rPr>
          <w:rStyle w:val="12"/>
          <w:rFonts w:hint="eastAsia" w:ascii="仿宋_GB2312" w:hAnsi="仿宋_GB2312" w:eastAsia="仿宋_GB2312" w:cs="仿宋_GB2312"/>
          <w:sz w:val="32"/>
          <w:szCs w:val="32"/>
          <w:lang w:val="en-US" w:eastAsia="zh-CN"/>
        </w:rPr>
        <w:t>3</w:t>
      </w:r>
      <w:r>
        <w:rPr>
          <w:rStyle w:val="12"/>
          <w:rFonts w:hint="eastAsia" w:ascii="仿宋_GB2312" w:hAnsi="仿宋_GB2312" w:eastAsia="仿宋_GB2312" w:cs="仿宋_GB2312"/>
          <w:sz w:val="32"/>
          <w:szCs w:val="32"/>
        </w:rPr>
        <w:t>年政府信息公开工作年度报告</w:t>
      </w:r>
      <w:r>
        <w:rPr>
          <w:rFonts w:hint="eastAsia" w:ascii="仿宋_GB2312" w:hAnsi="仿宋_GB2312" w:eastAsia="仿宋_GB2312" w:cs="仿宋_GB2312"/>
          <w:sz w:val="32"/>
          <w:szCs w:val="32"/>
        </w:rPr>
        <w:fldChar w:fldCharType="end"/>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仿宋" w:hAnsi="仿宋" w:eastAsia="仿宋" w:cs="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BCF17"/>
    <w:multiLevelType w:val="singleLevel"/>
    <w:tmpl w:val="8A5BCF17"/>
    <w:lvl w:ilvl="0" w:tentative="0">
      <w:start w:val="1"/>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99592B"/>
    <w:rsid w:val="04B871DC"/>
    <w:rsid w:val="04C523E5"/>
    <w:rsid w:val="05927F9F"/>
    <w:rsid w:val="059F1FEE"/>
    <w:rsid w:val="061043AF"/>
    <w:rsid w:val="063D400F"/>
    <w:rsid w:val="07004B02"/>
    <w:rsid w:val="07173589"/>
    <w:rsid w:val="085B374C"/>
    <w:rsid w:val="08BB1E4D"/>
    <w:rsid w:val="09BA5C05"/>
    <w:rsid w:val="0A5449BD"/>
    <w:rsid w:val="0B6017B9"/>
    <w:rsid w:val="0DB23146"/>
    <w:rsid w:val="0EE37632"/>
    <w:rsid w:val="10F70AE6"/>
    <w:rsid w:val="11674D72"/>
    <w:rsid w:val="11935B60"/>
    <w:rsid w:val="11EC0FF2"/>
    <w:rsid w:val="123654D6"/>
    <w:rsid w:val="125664A3"/>
    <w:rsid w:val="12DA4F7E"/>
    <w:rsid w:val="15042E03"/>
    <w:rsid w:val="160455E4"/>
    <w:rsid w:val="16176ECF"/>
    <w:rsid w:val="1622082A"/>
    <w:rsid w:val="166A633A"/>
    <w:rsid w:val="168C2214"/>
    <w:rsid w:val="16D734F7"/>
    <w:rsid w:val="17037D73"/>
    <w:rsid w:val="17870C81"/>
    <w:rsid w:val="17B3608B"/>
    <w:rsid w:val="186F5E9F"/>
    <w:rsid w:val="19B74C1D"/>
    <w:rsid w:val="1A0B1813"/>
    <w:rsid w:val="1C222D36"/>
    <w:rsid w:val="1C47275C"/>
    <w:rsid w:val="1C850733"/>
    <w:rsid w:val="1C952865"/>
    <w:rsid w:val="1DBE6FEE"/>
    <w:rsid w:val="1DE37776"/>
    <w:rsid w:val="1F182F61"/>
    <w:rsid w:val="1F4F7900"/>
    <w:rsid w:val="1F8721E5"/>
    <w:rsid w:val="1FA4221D"/>
    <w:rsid w:val="1FD01E46"/>
    <w:rsid w:val="200B59E9"/>
    <w:rsid w:val="2039313C"/>
    <w:rsid w:val="20F4351F"/>
    <w:rsid w:val="21EE06C0"/>
    <w:rsid w:val="22017E2B"/>
    <w:rsid w:val="220E5FDF"/>
    <w:rsid w:val="23B53941"/>
    <w:rsid w:val="245241EF"/>
    <w:rsid w:val="255D2AA7"/>
    <w:rsid w:val="26B92096"/>
    <w:rsid w:val="26DC5ACE"/>
    <w:rsid w:val="275C569C"/>
    <w:rsid w:val="27CA5F25"/>
    <w:rsid w:val="28205BC0"/>
    <w:rsid w:val="28EC21AD"/>
    <w:rsid w:val="29284F7F"/>
    <w:rsid w:val="293D7A75"/>
    <w:rsid w:val="2A6E0913"/>
    <w:rsid w:val="2AA7627A"/>
    <w:rsid w:val="2B9844FA"/>
    <w:rsid w:val="2D047420"/>
    <w:rsid w:val="2D35073C"/>
    <w:rsid w:val="2F2B43BA"/>
    <w:rsid w:val="30806B9E"/>
    <w:rsid w:val="30F73F5A"/>
    <w:rsid w:val="316B1BA5"/>
    <w:rsid w:val="31A476D2"/>
    <w:rsid w:val="32CF19BA"/>
    <w:rsid w:val="32DE27D9"/>
    <w:rsid w:val="33A10D3B"/>
    <w:rsid w:val="33B40DDC"/>
    <w:rsid w:val="345F1D8A"/>
    <w:rsid w:val="34B11EE1"/>
    <w:rsid w:val="35E04767"/>
    <w:rsid w:val="36364643"/>
    <w:rsid w:val="36996009"/>
    <w:rsid w:val="36DF115C"/>
    <w:rsid w:val="37242B85"/>
    <w:rsid w:val="37342E1F"/>
    <w:rsid w:val="379F3AAA"/>
    <w:rsid w:val="37B82A79"/>
    <w:rsid w:val="37D261A1"/>
    <w:rsid w:val="38477332"/>
    <w:rsid w:val="39C84EDD"/>
    <w:rsid w:val="3A3D4E9C"/>
    <w:rsid w:val="3BA06262"/>
    <w:rsid w:val="3C8342D6"/>
    <w:rsid w:val="3CCB1125"/>
    <w:rsid w:val="3D0059A4"/>
    <w:rsid w:val="3D863087"/>
    <w:rsid w:val="3F4E2DDE"/>
    <w:rsid w:val="3F8024B0"/>
    <w:rsid w:val="3F827426"/>
    <w:rsid w:val="3FA258EC"/>
    <w:rsid w:val="408A4515"/>
    <w:rsid w:val="41336AA7"/>
    <w:rsid w:val="415A1524"/>
    <w:rsid w:val="41A82BB0"/>
    <w:rsid w:val="41A91886"/>
    <w:rsid w:val="435619AB"/>
    <w:rsid w:val="44F32561"/>
    <w:rsid w:val="452F4FBA"/>
    <w:rsid w:val="46957D4E"/>
    <w:rsid w:val="46C27F35"/>
    <w:rsid w:val="472D6E53"/>
    <w:rsid w:val="47B972B3"/>
    <w:rsid w:val="48624CD1"/>
    <w:rsid w:val="4AA71688"/>
    <w:rsid w:val="4B1D1510"/>
    <w:rsid w:val="4C6F71B7"/>
    <w:rsid w:val="4CB06383"/>
    <w:rsid w:val="4DA21FA2"/>
    <w:rsid w:val="4E632CB0"/>
    <w:rsid w:val="4E7735C7"/>
    <w:rsid w:val="4EA22989"/>
    <w:rsid w:val="4FCC31D7"/>
    <w:rsid w:val="50621E6E"/>
    <w:rsid w:val="51FD0EA1"/>
    <w:rsid w:val="52D43103"/>
    <w:rsid w:val="554524F7"/>
    <w:rsid w:val="55805A3F"/>
    <w:rsid w:val="55B14B8B"/>
    <w:rsid w:val="56D174BC"/>
    <w:rsid w:val="57A713D9"/>
    <w:rsid w:val="586B4BC9"/>
    <w:rsid w:val="58E20764"/>
    <w:rsid w:val="59FA0BA4"/>
    <w:rsid w:val="5A943F9F"/>
    <w:rsid w:val="5C85343F"/>
    <w:rsid w:val="5E006127"/>
    <w:rsid w:val="5E011730"/>
    <w:rsid w:val="5EFD38EE"/>
    <w:rsid w:val="5FB55714"/>
    <w:rsid w:val="60EA3D13"/>
    <w:rsid w:val="60F2511B"/>
    <w:rsid w:val="614F61AD"/>
    <w:rsid w:val="616E3D42"/>
    <w:rsid w:val="62550A91"/>
    <w:rsid w:val="633C39DB"/>
    <w:rsid w:val="63847E28"/>
    <w:rsid w:val="63D7042E"/>
    <w:rsid w:val="64690D42"/>
    <w:rsid w:val="64972B08"/>
    <w:rsid w:val="65432745"/>
    <w:rsid w:val="656A1BBE"/>
    <w:rsid w:val="668D0F5F"/>
    <w:rsid w:val="66A17F01"/>
    <w:rsid w:val="66D7084A"/>
    <w:rsid w:val="67037D1B"/>
    <w:rsid w:val="671C17CC"/>
    <w:rsid w:val="674C7846"/>
    <w:rsid w:val="67716B82"/>
    <w:rsid w:val="683F3FB4"/>
    <w:rsid w:val="68917716"/>
    <w:rsid w:val="68A1752E"/>
    <w:rsid w:val="68B1527B"/>
    <w:rsid w:val="69D46E61"/>
    <w:rsid w:val="6A6B5154"/>
    <w:rsid w:val="6B170832"/>
    <w:rsid w:val="6B4733FA"/>
    <w:rsid w:val="6B4C7395"/>
    <w:rsid w:val="6CD065E0"/>
    <w:rsid w:val="6D0E597B"/>
    <w:rsid w:val="6DC72BAB"/>
    <w:rsid w:val="6E253688"/>
    <w:rsid w:val="6E2C24D1"/>
    <w:rsid w:val="6E8C5810"/>
    <w:rsid w:val="70222C83"/>
    <w:rsid w:val="70C566F3"/>
    <w:rsid w:val="719F284F"/>
    <w:rsid w:val="71B5409B"/>
    <w:rsid w:val="727212E6"/>
    <w:rsid w:val="72C85765"/>
    <w:rsid w:val="72E36AF2"/>
    <w:rsid w:val="73BC3631"/>
    <w:rsid w:val="74610F82"/>
    <w:rsid w:val="75342D58"/>
    <w:rsid w:val="77776320"/>
    <w:rsid w:val="77921B28"/>
    <w:rsid w:val="78460286"/>
    <w:rsid w:val="786B2C63"/>
    <w:rsid w:val="789D3289"/>
    <w:rsid w:val="78EE392F"/>
    <w:rsid w:val="79EA0AFF"/>
    <w:rsid w:val="7BDF75D6"/>
    <w:rsid w:val="7C666463"/>
    <w:rsid w:val="7C8E6D8A"/>
    <w:rsid w:val="7F4B253A"/>
    <w:rsid w:val="7F4C1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Hyperlink"/>
    <w:basedOn w:val="9"/>
    <w:unhideWhenUsed/>
    <w:qFormat/>
    <w:uiPriority w:val="0"/>
    <w:rPr>
      <w:color w:val="000000"/>
      <w:u w:val="none"/>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9"/>
    <w:link w:val="5"/>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刘晨璐</cp:lastModifiedBy>
  <cp:lastPrinted>2024-01-11T04:06:00Z</cp:lastPrinted>
  <dcterms:modified xsi:type="dcterms:W3CDTF">2024-01-12T06:25:43Z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