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北京市东城区政务服务管理局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以下简称《政府信息公开条例》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第五十条规定，编制本报告。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（一）组织领导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东城区政务服务管理局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进一步深化政府信息公开工作，持续加强组织领导和统筹提升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严格按照《政府信息公开条例》要求，逐条逐项对照《北京市东城区202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年政务公开工作要点》落实公开任务，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确保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政府信息公开全面可及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（二）主动公开情况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年，本单位全年共主动公开政府信息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114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条。其中：领导介绍信息1条；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政府信息公开指南1条，政府信息公开年报1条，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工作动态信息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97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条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办事统计类信息12条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（三）依申请公开办理情况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年，东城区政务服务管理局共收到政府信息公开申请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件，已按期答复并向申请人公开。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（四）政府信息管理情况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一是按照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政府信息公开全清单，公开政务服务事项和政务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服务</w:t>
      </w:r>
      <w:bookmarkStart w:id="0" w:name="_GoBack"/>
      <w:bookmarkEnd w:id="0"/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大厅情况，公开局工作动态、领导介绍、更新政府信息公开指南，发布政府信息公开工作年度报告，开展政策性文件意见征集并公开征集结果。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是多平台联动公开政府信息，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依托区政府网站、“东城政务服务”微信公众号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及时发布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全区政务服务办事统计数据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和全局政务服务会议信息、重点任务工作进展，扩大公开覆盖面。三是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依托中国政府采购网、北京市政府采购网发布招投标信息。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（五）政府信息公开平台建设情况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一是区政府门户网站与市级平台完成集约化迁移，正式实现前后台统筹升级，并</w:t>
      </w:r>
      <w:r>
        <w:rPr>
          <w:rFonts w:hint="eastAsia" w:ascii="仿宋" w:hAnsi="仿宋" w:eastAsia="仿宋" w:cs="仿宋"/>
          <w:sz w:val="32"/>
          <w:szCs w:val="32"/>
        </w:rPr>
        <w:t>召开网站系统操作培训会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，持续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提升网站标准化、规范化水平。二是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升级完善政策文件库，优化政策检索服务，按照类型、单位、特色等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个维度，展示区政府及工作部门文件、规范性文件，采取一图读懂、视频等企业群众喜闻乐见的形式制作解读材料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发挥牵头抓总作用，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报请区政府审议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印发区政府网站管理办法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“内容规范性、更新及时性、使用便利性”三方面开展网站建设。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（六）政府信息公开监督保障及教育培训情况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一是举办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东城区依申请公开、政府网站系统操作培训，提升政府信息公开和政务公开水平。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严格落实国办、北京市政府网站和政务新媒体检查指标，加强各公开渠道日常检查维护，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进一步健全公开渠道（政府网站、政务新媒体及政府系统对外联系电话）检查月通报机制，构建考核督促体系，形成以查促改的长效管理措施。三是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向全区树立信息公开领域全生命周期理念，规范全区依申请公开工作，推动答复内容依法合规。四是开展全区依申请公开办件工作测试并对测试结果全区通报。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3"/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一是公开内容较为单一。大部分公开信息为工作动态，缺乏系统、特色性的精品内容，信息关注度不高。</w:t>
      </w:r>
    </w:p>
    <w:p>
      <w:pPr>
        <w:pStyle w:val="3"/>
        <w:widowControl w:val="0"/>
        <w:wordWrap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二是创新意识不强。在新技术应用、信息汇聚等数字场景化应用上有所欠缺，信息丰富度不足、展现形式较为单一。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信息处理费收费情况：发出收费通知的件数和总金额以及实际收取的总金额均为0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北京市东城区人民政府门户网站网址为http://www.bjdch.gov.cn/，如需了解更多政府信息，请登录查询。</w:t>
      </w:r>
    </w:p>
    <w:p>
      <w:pPr>
        <w:pStyle w:val="2"/>
        <w:ind w:firstLine="672"/>
        <w:rPr>
          <w:rFonts w:hint="eastAsia"/>
        </w:rPr>
      </w:pPr>
    </w:p>
    <w:p>
      <w:pPr>
        <w:pStyle w:val="2"/>
        <w:ind w:firstLine="672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5B50A3-26D9-4CF6-AFCE-0DB99BA84F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E717EA3-70A4-49D3-97F9-6EF42A34B25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94367B-A964-45A1-8FF8-6FA169FFC8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9D1DD1F-99C8-4079-B5CF-B1D2AF353E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F581D75-7183-4FA6-A592-BA7D635A48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080B227-CB99-420C-BFF2-069E94CDF5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U3M2U2NzEwNTZmNTk2Mjk1MjBlYzY0MTM1MzM0YTUifQ=="/>
  </w:docVars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0A4DE9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5A06B66"/>
    <w:rsid w:val="061043AF"/>
    <w:rsid w:val="063D400F"/>
    <w:rsid w:val="07173589"/>
    <w:rsid w:val="085B374C"/>
    <w:rsid w:val="09BA5C05"/>
    <w:rsid w:val="0A5449BD"/>
    <w:rsid w:val="0B3A7E33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44745E1"/>
    <w:rsid w:val="15042E03"/>
    <w:rsid w:val="15474081"/>
    <w:rsid w:val="16045997"/>
    <w:rsid w:val="16176ECF"/>
    <w:rsid w:val="168C2214"/>
    <w:rsid w:val="186F5E9F"/>
    <w:rsid w:val="19B74C1D"/>
    <w:rsid w:val="1C0B2E0C"/>
    <w:rsid w:val="1C222D36"/>
    <w:rsid w:val="1C47275C"/>
    <w:rsid w:val="1C850733"/>
    <w:rsid w:val="1DBE6FEE"/>
    <w:rsid w:val="1DE37776"/>
    <w:rsid w:val="1FD01E46"/>
    <w:rsid w:val="200B59E9"/>
    <w:rsid w:val="2039313C"/>
    <w:rsid w:val="20C1718A"/>
    <w:rsid w:val="20F4351F"/>
    <w:rsid w:val="20F70EB7"/>
    <w:rsid w:val="21EE06C0"/>
    <w:rsid w:val="220E5FDF"/>
    <w:rsid w:val="23B53941"/>
    <w:rsid w:val="26B92096"/>
    <w:rsid w:val="26DC5ACE"/>
    <w:rsid w:val="275C569C"/>
    <w:rsid w:val="285A5F95"/>
    <w:rsid w:val="28EC21AD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8E4C38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24C537C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50621E6E"/>
    <w:rsid w:val="51FD0EA1"/>
    <w:rsid w:val="52D43103"/>
    <w:rsid w:val="554524F7"/>
    <w:rsid w:val="55805A3F"/>
    <w:rsid w:val="57A713D9"/>
    <w:rsid w:val="58E20764"/>
    <w:rsid w:val="58EE69C3"/>
    <w:rsid w:val="599A432A"/>
    <w:rsid w:val="59FA0BA4"/>
    <w:rsid w:val="5B8F5D6E"/>
    <w:rsid w:val="5C85343F"/>
    <w:rsid w:val="5E011730"/>
    <w:rsid w:val="5E1E0AF5"/>
    <w:rsid w:val="5FB55714"/>
    <w:rsid w:val="60EA3D13"/>
    <w:rsid w:val="60F2511B"/>
    <w:rsid w:val="6167121C"/>
    <w:rsid w:val="61DA09E4"/>
    <w:rsid w:val="63026AB0"/>
    <w:rsid w:val="633C39DB"/>
    <w:rsid w:val="63847E28"/>
    <w:rsid w:val="64690D42"/>
    <w:rsid w:val="64972B08"/>
    <w:rsid w:val="653E14A0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C061AEA"/>
    <w:rsid w:val="6D0E597B"/>
    <w:rsid w:val="6DC72BAB"/>
    <w:rsid w:val="6E8C5810"/>
    <w:rsid w:val="70222C83"/>
    <w:rsid w:val="719F284F"/>
    <w:rsid w:val="71B5409B"/>
    <w:rsid w:val="74610F82"/>
    <w:rsid w:val="750D1976"/>
    <w:rsid w:val="75342D58"/>
    <w:rsid w:val="77776320"/>
    <w:rsid w:val="77921B28"/>
    <w:rsid w:val="789D3289"/>
    <w:rsid w:val="79C96FC2"/>
    <w:rsid w:val="79EA0AFF"/>
    <w:rsid w:val="7BDF75D6"/>
    <w:rsid w:val="7C666463"/>
    <w:rsid w:val="7C8E6D8A"/>
    <w:rsid w:val="7F0B29C4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link w:val="11"/>
    <w:unhideWhenUsed/>
    <w:qFormat/>
    <w:uiPriority w:val="1"/>
    <w:rPr>
      <w:rFonts w:ascii="Tahoma" w:hAnsi="Tahoma"/>
      <w:sz w:val="24"/>
      <w:szCs w:val="20"/>
    </w:rPr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unhideWhenUsed/>
    <w:qFormat/>
    <w:uiPriority w:val="0"/>
    <w:pPr>
      <w:ind w:left="815" w:hanging="815"/>
    </w:pPr>
    <w:rPr>
      <w:rFonts w:ascii="Times New Roman" w:hAnsi="Times New Roman" w:eastAsia="仿宋_GB2312" w:cs="Times New Roman"/>
      <w:sz w:val="28"/>
      <w:szCs w:val="20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Char Char1"/>
    <w:basedOn w:val="1"/>
    <w:link w:val="10"/>
    <w:qFormat/>
    <w:uiPriority w:val="0"/>
    <w:rPr>
      <w:rFonts w:ascii="Tahoma" w:hAnsi="Tahoma"/>
      <w:sz w:val="24"/>
      <w:szCs w:val="20"/>
    </w:rPr>
  </w:style>
  <w:style w:type="character" w:styleId="12">
    <w:name w:val="page number"/>
    <w:basedOn w:val="10"/>
    <w:unhideWhenUsed/>
    <w:qFormat/>
    <w:uiPriority w:val="99"/>
  </w:style>
  <w:style w:type="character" w:styleId="13">
    <w:name w:val="Hyperlink"/>
    <w:basedOn w:val="10"/>
    <w:unhideWhenUsed/>
    <w:qFormat/>
    <w:uiPriority w:val="0"/>
    <w:rPr>
      <w:color w:val="000000"/>
      <w:u w:val="none"/>
    </w:rPr>
  </w:style>
  <w:style w:type="paragraph" w:customStyle="1" w:styleId="14">
    <w:name w:val="_Style 6"/>
    <w:basedOn w:val="1"/>
    <w:qFormat/>
    <w:uiPriority w:val="0"/>
    <w:rPr>
      <w:szCs w:val="20"/>
    </w:rPr>
  </w:style>
  <w:style w:type="paragraph" w:customStyle="1" w:styleId="15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赵青</cp:lastModifiedBy>
  <cp:lastPrinted>2019-10-11T08:27:00Z</cp:lastPrinted>
  <dcterms:modified xsi:type="dcterms:W3CDTF">2024-03-07T02:22:44Z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299C4F9E73024C9FA0F7E1B94563492F_12</vt:lpwstr>
  </property>
</Properties>
</file>