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北京市东城区园林绿化局</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sz w:val="44"/>
          <w:szCs w:val="44"/>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spacing w:line="600" w:lineRule="exact"/>
        <w:ind w:left="0" w:leftChars="0" w:right="0" w:rightChars="0"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tabs>
          <w:tab w:val="left" w:pos="436"/>
        </w:tabs>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u w:val="none" w:color="auto"/>
          <w:lang w:val="en-US" w:eastAsia="zh-CN"/>
        </w:rPr>
        <w:t>1.</w:t>
      </w:r>
      <w:r>
        <w:rPr>
          <w:rFonts w:hint="eastAsia" w:ascii="楷体_GB2312" w:hAnsi="楷体_GB2312" w:eastAsia="楷体_GB2312" w:cs="楷体_GB2312"/>
          <w:b w:val="0"/>
          <w:bCs w:val="0"/>
          <w:color w:val="auto"/>
          <w:sz w:val="32"/>
          <w:szCs w:val="32"/>
          <w:u w:val="none" w:color="auto"/>
        </w:rPr>
        <w:t>主动公开情况</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2023年东城区园林绿化局积极落实</w:t>
      </w:r>
      <w:r>
        <w:rPr>
          <w:rFonts w:hint="eastAsia" w:ascii="仿宋_GB2312" w:hAnsi="宋体" w:eastAsia="仿宋_GB2312" w:cs="宋体"/>
          <w:spacing w:val="8"/>
          <w:kern w:val="0"/>
          <w:sz w:val="32"/>
          <w:szCs w:val="32"/>
          <w:highlight w:val="none"/>
        </w:rPr>
        <w:t>《中华人民共和国政府信息公开条例》</w:t>
      </w:r>
      <w:r>
        <w:rPr>
          <w:rFonts w:hint="eastAsia" w:ascii="仿宋_GB2312" w:hAnsi="宋体" w:eastAsia="仿宋_GB2312" w:cs="宋体"/>
          <w:spacing w:val="8"/>
          <w:kern w:val="0"/>
          <w:sz w:val="32"/>
          <w:szCs w:val="32"/>
          <w:highlight w:val="none"/>
          <w:lang w:eastAsia="zh-CN"/>
        </w:rPr>
        <w:t>和</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color w:val="auto"/>
          <w:sz w:val="32"/>
          <w:szCs w:val="32"/>
        </w:rPr>
        <w:t>北京市</w:t>
      </w:r>
      <w:r>
        <w:rPr>
          <w:rFonts w:hint="eastAsia" w:ascii="仿宋_GB2312" w:hAnsi="仿宋_GB2312" w:eastAsia="仿宋_GB2312" w:cs="仿宋_GB2312"/>
          <w:color w:val="auto"/>
          <w:sz w:val="32"/>
          <w:szCs w:val="32"/>
          <w:lang w:eastAsia="zh-CN"/>
        </w:rPr>
        <w:t>东城区</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年政务公开工作要点</w:t>
      </w:r>
      <w:r>
        <w:rPr>
          <w:rFonts w:hint="eastAsia" w:ascii="仿宋_GB2312" w:hAnsi="仿宋_GB2312" w:eastAsia="仿宋_GB2312" w:cs="仿宋_GB2312"/>
          <w:i w:val="0"/>
          <w:caps w:val="0"/>
          <w:color w:val="auto"/>
          <w:spacing w:val="0"/>
          <w:sz w:val="32"/>
          <w:szCs w:val="32"/>
          <w:u w:val="none"/>
          <w:shd w:val="clear" w:color="auto" w:fill="FFFFFF"/>
          <w:lang w:eastAsia="zh-CN"/>
        </w:rPr>
        <w:t>》，扎实推进政府信息公开各项工作，通过</w:t>
      </w:r>
      <w:r>
        <w:rPr>
          <w:rFonts w:hint="eastAsia" w:ascii="仿宋_GB2312" w:hAnsi="仿宋_GB2312" w:eastAsia="仿宋_GB2312" w:cs="仿宋_GB2312"/>
          <w:color w:val="auto"/>
          <w:sz w:val="32"/>
          <w:szCs w:val="32"/>
          <w:u w:val="none"/>
          <w:lang w:eastAsia="zh-CN"/>
        </w:rPr>
        <w:t>北京市东城区人民政府网站、微信公众号等方式，依法、及时、全面公开政府信息。</w:t>
      </w:r>
      <w:r>
        <w:rPr>
          <w:rFonts w:hint="eastAsia" w:ascii="仿宋_GB2312" w:hAnsi="仿宋_GB2312" w:eastAsia="仿宋_GB2312" w:cs="仿宋_GB2312"/>
          <w:color w:val="auto"/>
          <w:sz w:val="32"/>
          <w:szCs w:val="32"/>
          <w:u w:val="none"/>
        </w:rPr>
        <w:t>截至20</w:t>
      </w:r>
      <w:r>
        <w:rPr>
          <w:rFonts w:hint="eastAsia" w:ascii="仿宋_GB2312" w:hAnsi="仿宋_GB2312" w:eastAsia="仿宋_GB2312" w:cs="仿宋_GB2312"/>
          <w:color w:val="auto"/>
          <w:sz w:val="32"/>
          <w:szCs w:val="32"/>
          <w:u w:val="none"/>
          <w:lang w:val="en-US" w:eastAsia="zh-CN"/>
        </w:rPr>
        <w:t>23</w:t>
      </w:r>
      <w:r>
        <w:rPr>
          <w:rFonts w:hint="eastAsia" w:ascii="仿宋_GB2312" w:hAnsi="仿宋_GB2312" w:eastAsia="仿宋_GB2312" w:cs="仿宋_GB2312"/>
          <w:color w:val="auto"/>
          <w:sz w:val="32"/>
          <w:szCs w:val="32"/>
          <w:u w:val="none"/>
        </w:rPr>
        <w:t>年12月31日，</w:t>
      </w:r>
      <w:r>
        <w:rPr>
          <w:rFonts w:hint="eastAsia" w:ascii="仿宋_GB2312" w:hAnsi="仿宋_GB2312" w:eastAsia="仿宋_GB2312" w:cs="仿宋_GB2312"/>
          <w:color w:val="auto"/>
          <w:sz w:val="32"/>
          <w:szCs w:val="32"/>
          <w:u w:val="none"/>
          <w:shd w:val="clear" w:color="auto" w:fill="auto"/>
        </w:rPr>
        <w:t>我局全年通过</w:t>
      </w:r>
      <w:r>
        <w:rPr>
          <w:rFonts w:hint="eastAsia" w:ascii="仿宋_GB2312" w:hAnsi="仿宋_GB2312" w:eastAsia="仿宋_GB2312" w:cs="仿宋_GB2312"/>
          <w:color w:val="auto"/>
          <w:sz w:val="32"/>
          <w:szCs w:val="32"/>
          <w:u w:val="none"/>
          <w:lang w:eastAsia="zh-CN"/>
        </w:rPr>
        <w:t>北京市东城区人民政府网站</w:t>
      </w:r>
      <w:r>
        <w:rPr>
          <w:rFonts w:hint="eastAsia" w:ascii="仿宋_GB2312" w:hAnsi="仿宋_GB2312" w:eastAsia="仿宋_GB2312" w:cs="仿宋_GB2312"/>
          <w:color w:val="auto"/>
          <w:sz w:val="32"/>
          <w:szCs w:val="32"/>
          <w:u w:val="none"/>
          <w:shd w:val="clear" w:color="auto" w:fill="auto"/>
        </w:rPr>
        <w:t>主动公开政府信</w:t>
      </w:r>
      <w:r>
        <w:rPr>
          <w:rFonts w:hint="eastAsia" w:ascii="仿宋_GB2312" w:hAnsi="仿宋_GB2312" w:eastAsia="仿宋_GB2312" w:cs="仿宋_GB2312"/>
          <w:color w:val="auto"/>
          <w:sz w:val="32"/>
          <w:szCs w:val="32"/>
          <w:highlight w:val="none"/>
          <w:u w:val="none"/>
          <w:shd w:val="clear" w:color="auto" w:fill="auto"/>
        </w:rPr>
        <w:t>息</w:t>
      </w:r>
      <w:r>
        <w:rPr>
          <w:rFonts w:hint="eastAsia" w:ascii="仿宋_GB2312" w:hAnsi="仿宋_GB2312" w:eastAsia="仿宋_GB2312" w:cs="仿宋_GB2312"/>
          <w:color w:val="auto"/>
          <w:sz w:val="32"/>
          <w:szCs w:val="32"/>
          <w:highlight w:val="none"/>
          <w:u w:val="none"/>
          <w:shd w:val="clear" w:color="auto" w:fill="auto"/>
          <w:lang w:val="en-US" w:eastAsia="zh-CN"/>
        </w:rPr>
        <w:t>100</w:t>
      </w:r>
      <w:r>
        <w:rPr>
          <w:rFonts w:hint="eastAsia" w:ascii="仿宋_GB2312" w:hAnsi="仿宋_GB2312" w:eastAsia="仿宋_GB2312" w:cs="仿宋_GB2312"/>
          <w:color w:val="auto"/>
          <w:sz w:val="32"/>
          <w:szCs w:val="32"/>
          <w:highlight w:val="none"/>
          <w:u w:val="none"/>
          <w:shd w:val="clear" w:color="auto" w:fill="auto"/>
        </w:rPr>
        <w:t>条</w:t>
      </w:r>
      <w:r>
        <w:rPr>
          <w:rFonts w:hint="eastAsia" w:ascii="仿宋_GB2312" w:hAnsi="仿宋_GB2312" w:eastAsia="仿宋_GB2312" w:cs="仿宋_GB2312"/>
          <w:color w:val="auto"/>
          <w:sz w:val="32"/>
          <w:szCs w:val="32"/>
          <w:highlight w:val="none"/>
          <w:u w:val="none"/>
          <w:lang w:eastAsia="zh-CN"/>
        </w:rPr>
        <w:t>，</w:t>
      </w:r>
      <w:r>
        <w:rPr>
          <w:rFonts w:hint="eastAsia" w:ascii="仿宋_GB2312" w:eastAsia="仿宋_GB2312"/>
          <w:b w:val="0"/>
          <w:bCs w:val="0"/>
          <w:sz w:val="32"/>
          <w:szCs w:val="32"/>
          <w:highlight w:val="none"/>
        </w:rPr>
        <w:t>东城园林微信公众号</w:t>
      </w:r>
      <w:r>
        <w:rPr>
          <w:rFonts w:hint="eastAsia" w:ascii="仿宋_GB2312" w:hAnsi="仿宋_GB2312" w:eastAsia="仿宋_GB2312" w:cs="仿宋_GB2312"/>
          <w:b w:val="0"/>
          <w:bCs w:val="0"/>
          <w:color w:val="auto"/>
          <w:kern w:val="0"/>
          <w:sz w:val="32"/>
          <w:szCs w:val="32"/>
          <w:highlight w:val="none"/>
          <w:lang w:val="en-US" w:eastAsia="zh-CN" w:bidi="ar-SA"/>
        </w:rPr>
        <w:t>发布政府信息</w:t>
      </w:r>
      <w:r>
        <w:rPr>
          <w:rFonts w:hint="eastAsia" w:ascii="仿宋_GB2312" w:eastAsia="仿宋_GB2312"/>
          <w:b w:val="0"/>
          <w:bCs w:val="0"/>
          <w:sz w:val="32"/>
          <w:szCs w:val="32"/>
          <w:highlight w:val="none"/>
          <w:lang w:val="en-US" w:eastAsia="zh-CN"/>
        </w:rPr>
        <w:t>74篇次</w:t>
      </w:r>
      <w:r>
        <w:rPr>
          <w:rFonts w:hint="eastAsia" w:ascii="仿宋_GB2312" w:eastAsia="仿宋_GB2312"/>
          <w:b w:val="0"/>
          <w:bCs w:val="0"/>
          <w:sz w:val="32"/>
          <w:szCs w:val="32"/>
          <w:highlight w:val="none"/>
          <w:lang w:eastAsia="zh-CN"/>
        </w:rPr>
        <w:t>。</w:t>
      </w:r>
    </w:p>
    <w:p>
      <w:pPr>
        <w:pStyle w:val="3"/>
        <w:keepNext w:val="0"/>
        <w:keepLines w:val="0"/>
        <w:pageBreakBefore w:val="0"/>
        <w:widowControl/>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2.</w:t>
      </w:r>
      <w:r>
        <w:rPr>
          <w:rFonts w:hint="eastAsia" w:ascii="楷体_GB2312" w:hAnsi="楷体_GB2312" w:eastAsia="楷体_GB2312" w:cs="楷体_GB2312"/>
          <w:b w:val="0"/>
          <w:bCs w:val="0"/>
          <w:color w:val="auto"/>
          <w:sz w:val="32"/>
          <w:szCs w:val="32"/>
          <w:u w:val="none"/>
          <w:lang w:eastAsia="zh-CN"/>
        </w:rPr>
        <w:t>依申请公开情况</w:t>
      </w:r>
    </w:p>
    <w:p>
      <w:pPr>
        <w:pStyle w:val="3"/>
        <w:keepNext w:val="0"/>
        <w:keepLines w:val="0"/>
        <w:pageBreakBefore w:val="0"/>
        <w:widowControl/>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bCs/>
          <w:color w:val="auto"/>
          <w:sz w:val="32"/>
          <w:szCs w:val="32"/>
          <w:u w:val="none"/>
        </w:rPr>
      </w:pPr>
      <w:r>
        <w:rPr>
          <w:rFonts w:hint="eastAsia" w:ascii="仿宋_GB2312" w:hAnsi="仿宋_GB2312" w:eastAsia="仿宋_GB2312" w:cs="仿宋_GB2312"/>
          <w:b w:val="0"/>
          <w:bCs w:val="0"/>
          <w:color w:val="auto"/>
          <w:sz w:val="32"/>
          <w:szCs w:val="32"/>
          <w:u w:val="none"/>
          <w:lang w:eastAsia="zh-CN"/>
        </w:rPr>
        <w:t>我局</w:t>
      </w:r>
      <w:r>
        <w:rPr>
          <w:rFonts w:hint="eastAsia" w:ascii="仿宋_GB2312" w:hAnsi="仿宋_GB2312" w:eastAsia="仿宋_GB2312" w:cs="仿宋_GB2312"/>
          <w:b w:val="0"/>
          <w:bCs w:val="0"/>
          <w:color w:val="auto"/>
          <w:sz w:val="32"/>
          <w:szCs w:val="32"/>
          <w:u w:val="none"/>
          <w:lang w:val="en-US" w:eastAsia="zh-CN"/>
        </w:rPr>
        <w:t>2023年收到处理依申请公开0件。</w:t>
      </w:r>
    </w:p>
    <w:p>
      <w:pPr>
        <w:pStyle w:val="3"/>
        <w:keepNext w:val="0"/>
        <w:keepLines w:val="0"/>
        <w:pageBreakBefore w:val="0"/>
        <w:widowControl/>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3.</w:t>
      </w:r>
      <w:r>
        <w:rPr>
          <w:rFonts w:hint="eastAsia" w:ascii="楷体_GB2312" w:hAnsi="楷体_GB2312" w:eastAsia="楷体_GB2312" w:cs="楷体_GB2312"/>
          <w:b w:val="0"/>
          <w:bCs w:val="0"/>
          <w:color w:val="auto"/>
          <w:sz w:val="32"/>
          <w:szCs w:val="32"/>
          <w:u w:val="none"/>
        </w:rPr>
        <w:t>政府信息公开平台建设情况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b w:val="0"/>
          <w:bCs w:val="0"/>
          <w:sz w:val="32"/>
          <w:szCs w:val="32"/>
          <w:highlight w:val="none"/>
          <w:lang w:eastAsia="zh-CN"/>
        </w:rPr>
      </w:pPr>
      <w:r>
        <w:rPr>
          <w:rFonts w:hint="eastAsia" w:ascii="仿宋_GB2312" w:hAnsi="仿宋_GB2312" w:eastAsia="仿宋_GB2312" w:cs="仿宋_GB2312"/>
          <w:color w:val="auto"/>
          <w:sz w:val="32"/>
          <w:szCs w:val="32"/>
          <w:u w:val="none"/>
          <w:lang w:eastAsia="zh-CN"/>
        </w:rPr>
        <w:t>在北京市东城区人民政府网站开设政务公开栏和专题专栏</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2023年在政务公开栏发布部门工作75条、通知公告2条、意见提案</w:t>
      </w:r>
      <w:r>
        <w:rPr>
          <w:rFonts w:hint="eastAsia" w:ascii="仿宋_GB2312" w:hAnsi="仿宋_GB2312" w:eastAsia="仿宋_GB2312" w:cs="仿宋_GB2312"/>
          <w:color w:val="auto"/>
          <w:sz w:val="32"/>
          <w:szCs w:val="32"/>
          <w:highlight w:val="none"/>
          <w:u w:val="none"/>
          <w:lang w:val="en-US" w:eastAsia="zh-CN"/>
        </w:rPr>
        <w:t>办理5条、公开全清单1条、政府信息公开指南1条；在专题专栏发布基本信息7条、执法过程与结果信息9条。</w:t>
      </w:r>
      <w:r>
        <w:rPr>
          <w:rFonts w:hint="eastAsia" w:ascii="仿宋_GB2312" w:hAnsi="仿宋_GB2312" w:eastAsia="仿宋_GB2312" w:cs="仿宋_GB2312"/>
          <w:color w:val="auto"/>
          <w:sz w:val="32"/>
          <w:szCs w:val="32"/>
          <w:highlight w:val="none"/>
          <w:u w:val="none"/>
        </w:rPr>
        <w:t>同时利用微信</w:t>
      </w:r>
      <w:r>
        <w:rPr>
          <w:rFonts w:hint="eastAsia" w:ascii="仿宋_GB2312" w:hAnsi="仿宋_GB2312" w:eastAsia="仿宋_GB2312" w:cs="仿宋_GB2312"/>
          <w:color w:val="auto"/>
          <w:sz w:val="32"/>
          <w:szCs w:val="32"/>
          <w:highlight w:val="none"/>
          <w:u w:val="none"/>
          <w:lang w:eastAsia="zh-CN"/>
        </w:rPr>
        <w:t>公众号</w:t>
      </w:r>
      <w:r>
        <w:rPr>
          <w:rFonts w:hint="eastAsia" w:ascii="仿宋_GB2312" w:hAnsi="仿宋_GB2312" w:eastAsia="仿宋_GB2312" w:cs="仿宋_GB2312"/>
          <w:color w:val="auto"/>
          <w:sz w:val="32"/>
          <w:szCs w:val="32"/>
          <w:highlight w:val="none"/>
          <w:u w:val="none"/>
        </w:rPr>
        <w:t>进行信息公开，</w:t>
      </w:r>
      <w:r>
        <w:rPr>
          <w:rFonts w:hint="eastAsia" w:ascii="仿宋_GB2312" w:hAnsi="仿宋_GB2312" w:eastAsia="仿宋_GB2312" w:cs="仿宋_GB2312"/>
          <w:color w:val="auto"/>
          <w:sz w:val="32"/>
          <w:szCs w:val="32"/>
          <w:highlight w:val="none"/>
          <w:u w:val="none"/>
          <w:lang w:val="en-US" w:eastAsia="zh-CN"/>
        </w:rPr>
        <w:t>2023年</w:t>
      </w:r>
      <w:r>
        <w:rPr>
          <w:rFonts w:hint="eastAsia" w:ascii="仿宋_GB2312" w:eastAsia="仿宋_GB2312"/>
          <w:b w:val="0"/>
          <w:bCs w:val="0"/>
          <w:sz w:val="32"/>
          <w:szCs w:val="32"/>
          <w:highlight w:val="none"/>
        </w:rPr>
        <w:t>东城园林微信公众号</w:t>
      </w:r>
      <w:r>
        <w:rPr>
          <w:rFonts w:hint="eastAsia" w:ascii="仿宋_GB2312" w:hAnsi="仿宋_GB2312" w:eastAsia="仿宋_GB2312" w:cs="仿宋_GB2312"/>
          <w:b w:val="0"/>
          <w:bCs w:val="0"/>
          <w:color w:val="auto"/>
          <w:kern w:val="0"/>
          <w:sz w:val="32"/>
          <w:szCs w:val="32"/>
          <w:highlight w:val="none"/>
          <w:lang w:val="en-US" w:eastAsia="zh-CN" w:bidi="ar-SA"/>
        </w:rPr>
        <w:t>共发布</w:t>
      </w:r>
      <w:r>
        <w:rPr>
          <w:rFonts w:hint="eastAsia" w:ascii="仿宋_GB2312" w:eastAsia="仿宋_GB2312"/>
          <w:b w:val="0"/>
          <w:bCs w:val="0"/>
          <w:sz w:val="32"/>
          <w:szCs w:val="32"/>
          <w:highlight w:val="none"/>
          <w:lang w:val="en-US" w:eastAsia="zh-CN"/>
        </w:rPr>
        <w:t>74篇次</w:t>
      </w:r>
      <w:r>
        <w:rPr>
          <w:rFonts w:hint="eastAsia" w:ascii="仿宋_GB2312" w:eastAsia="仿宋_GB2312"/>
          <w:b w:val="0"/>
          <w:bCs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bidi="ar-SA"/>
        </w:rPr>
        <w:t>总</w:t>
      </w:r>
      <w:r>
        <w:rPr>
          <w:rFonts w:hint="eastAsia" w:ascii="仿宋_GB2312" w:eastAsia="仿宋_GB2312"/>
          <w:b w:val="0"/>
          <w:bCs w:val="0"/>
          <w:sz w:val="32"/>
          <w:szCs w:val="32"/>
          <w:highlight w:val="none"/>
        </w:rPr>
        <w:t>阅读量10269</w:t>
      </w:r>
      <w:r>
        <w:rPr>
          <w:rFonts w:hint="eastAsia" w:ascii="仿宋_GB2312" w:hAnsi="仿宋_GB2312" w:eastAsia="仿宋_GB2312" w:cs="仿宋_GB2312"/>
          <w:b w:val="0"/>
          <w:bCs w:val="0"/>
          <w:color w:val="auto"/>
          <w:kern w:val="0"/>
          <w:sz w:val="32"/>
          <w:szCs w:val="32"/>
          <w:highlight w:val="none"/>
          <w:lang w:val="en-US" w:eastAsia="zh-CN" w:bidi="ar-SA"/>
        </w:rPr>
        <w:t>人次</w:t>
      </w:r>
      <w:r>
        <w:rPr>
          <w:rFonts w:hint="eastAsia" w:ascii="仿宋_GB2312" w:eastAsia="仿宋_GB2312"/>
          <w:b w:val="0"/>
          <w:bCs w:val="0"/>
          <w:sz w:val="32"/>
          <w:szCs w:val="32"/>
          <w:highlight w:val="none"/>
          <w:lang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u w:val="none"/>
          <w:lang w:val="en-US" w:eastAsia="zh-CN" w:bidi="ar-SA"/>
        </w:rPr>
      </w:pPr>
      <w:r>
        <w:rPr>
          <w:rFonts w:hint="eastAsia" w:ascii="楷体_GB2312" w:hAnsi="楷体_GB2312" w:eastAsia="楷体_GB2312" w:cs="楷体_GB2312"/>
          <w:b w:val="0"/>
          <w:bCs w:val="0"/>
          <w:color w:val="auto"/>
          <w:kern w:val="0"/>
          <w:sz w:val="32"/>
          <w:szCs w:val="32"/>
          <w:u w:val="none"/>
          <w:lang w:val="en-US" w:eastAsia="zh-CN" w:bidi="ar-SA"/>
        </w:rPr>
        <w:t>4.组织领导、监督管理情况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u w:val="none"/>
          <w:lang w:val="en-US" w:eastAsia="zh-CN"/>
        </w:rPr>
        <w:t>一是</w:t>
      </w:r>
      <w:r>
        <w:rPr>
          <w:rFonts w:hint="eastAsia" w:ascii="仿宋_GB2312" w:hAnsi="仿宋_GB2312" w:eastAsia="仿宋_GB2312" w:cs="仿宋_GB2312"/>
          <w:color w:val="auto"/>
          <w:sz w:val="32"/>
          <w:szCs w:val="32"/>
          <w:u w:val="none"/>
        </w:rPr>
        <w:t>领导重视，组织健全。全局上下充分认识到政府信息公开工作的重要性和必要性，建立了主要领导亲自过问，主管领导督察检查，信息公开责任部门具体落实的信息公开体系。凡是关于信息公开工作的相关文件，须经主要领导批示，</w:t>
      </w:r>
      <w:r>
        <w:rPr>
          <w:rFonts w:hint="eastAsia" w:ascii="仿宋_GB2312" w:hAnsi="仿宋_GB2312" w:eastAsia="仿宋_GB2312" w:cs="仿宋_GB2312"/>
          <w:color w:val="auto"/>
          <w:sz w:val="32"/>
          <w:szCs w:val="32"/>
          <w:highlight w:val="none"/>
          <w:u w:val="none"/>
        </w:rPr>
        <w:t>主管领导阅示后经信息公开主责部门（办公室）进行办理，需上报的文字材料须经主要领导审阅后方能上报。</w:t>
      </w:r>
      <w:r>
        <w:rPr>
          <w:rFonts w:hint="eastAsia" w:ascii="仿宋_GB2312" w:hAnsi="仿宋_GB2312" w:eastAsia="仿宋_GB2312" w:cs="仿宋_GB2312"/>
          <w:color w:val="auto"/>
          <w:sz w:val="32"/>
          <w:szCs w:val="32"/>
          <w:highlight w:val="none"/>
          <w:u w:val="none"/>
          <w:lang w:eastAsia="zh-CN"/>
        </w:rPr>
        <w:t>做到</w:t>
      </w:r>
      <w:r>
        <w:rPr>
          <w:rFonts w:hint="eastAsia" w:ascii="仿宋_GB2312" w:hAnsi="仿宋_GB2312" w:eastAsia="仿宋_GB2312" w:cs="仿宋_GB2312"/>
          <w:color w:val="auto"/>
          <w:sz w:val="32"/>
          <w:szCs w:val="32"/>
          <w:highlight w:val="none"/>
          <w:u w:val="none"/>
        </w:rPr>
        <w:t>工作有人抓，有人管，组织健全，联系渠道畅通。</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s="宋体"/>
          <w:spacing w:val="8"/>
          <w:kern w:val="0"/>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二是完善制度，强化监督。</w:t>
      </w:r>
      <w:r>
        <w:rPr>
          <w:rFonts w:hint="eastAsia" w:ascii="仿宋_GB2312" w:hAnsi="宋体" w:eastAsia="仿宋_GB2312" w:cs="宋体"/>
          <w:spacing w:val="8"/>
          <w:kern w:val="0"/>
          <w:sz w:val="32"/>
          <w:szCs w:val="32"/>
          <w:highlight w:val="none"/>
          <w:lang w:val="en-US" w:eastAsia="zh-CN"/>
        </w:rPr>
        <w:t>年初对原有的各项制度重新整理，制定了</w:t>
      </w:r>
      <w:bookmarkStart w:id="0" w:name="_GoBack"/>
      <w:bookmarkEnd w:id="0"/>
      <w:r>
        <w:rPr>
          <w:rFonts w:hint="eastAsia" w:ascii="仿宋_GB2312" w:hAnsi="宋体" w:eastAsia="仿宋_GB2312" w:cs="宋体"/>
          <w:spacing w:val="8"/>
          <w:kern w:val="0"/>
          <w:sz w:val="32"/>
          <w:szCs w:val="32"/>
          <w:highlight w:val="none"/>
          <w:lang w:val="en-US" w:eastAsia="zh-CN"/>
        </w:rPr>
        <w:t>政府信息公开工作制度、监督制度等内部规范，并下发各科室以及局属各单位。与此同时，局属各部门，结合推行政府信息公开，进一步修订完善了内部的管理制度和规定，做到明确职责、措施到位。</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s="宋体"/>
          <w:spacing w:val="8"/>
          <w:kern w:val="0"/>
          <w:sz w:val="32"/>
          <w:szCs w:val="32"/>
          <w:highlight w:val="yellow"/>
          <w:lang w:val="en-US" w:eastAsia="zh-CN"/>
        </w:rPr>
      </w:pPr>
      <w:r>
        <w:rPr>
          <w:rFonts w:hint="eastAsia" w:eastAsia="仿宋_GB2312" w:cs="Times New Roman"/>
          <w:color w:val="auto"/>
          <w:sz w:val="32"/>
          <w:szCs w:val="32"/>
          <w:highlight w:val="none"/>
          <w:shd w:val="clear" w:color="auto" w:fill="FFFFFF"/>
          <w:lang w:val="en-US" w:eastAsia="zh-CN"/>
        </w:rPr>
        <w:t>三是夯实学习，加强培训。</w:t>
      </w:r>
      <w:r>
        <w:rPr>
          <w:rFonts w:hint="eastAsia" w:ascii="仿宋_GB2312" w:hAnsi="宋体" w:eastAsia="仿宋_GB2312" w:cs="宋体"/>
          <w:spacing w:val="8"/>
          <w:kern w:val="0"/>
          <w:sz w:val="32"/>
          <w:szCs w:val="32"/>
          <w:highlight w:val="none"/>
        </w:rPr>
        <w:t>认真学习《中华人民共和国政府信息公开条例》</w:t>
      </w:r>
      <w:r>
        <w:rPr>
          <w:rFonts w:hint="eastAsia" w:ascii="仿宋_GB2312" w:hAnsi="宋体" w:eastAsia="仿宋_GB2312" w:cs="宋体"/>
          <w:spacing w:val="8"/>
          <w:kern w:val="0"/>
          <w:sz w:val="32"/>
          <w:szCs w:val="32"/>
          <w:highlight w:val="none"/>
          <w:lang w:eastAsia="zh-CN"/>
        </w:rPr>
        <w:t>及市、区</w:t>
      </w:r>
      <w:r>
        <w:rPr>
          <w:rFonts w:hint="eastAsia" w:ascii="仿宋_GB2312" w:hAnsi="宋体" w:eastAsia="仿宋_GB2312" w:cs="宋体"/>
          <w:spacing w:val="8"/>
          <w:kern w:val="0"/>
          <w:sz w:val="32"/>
          <w:szCs w:val="32"/>
          <w:highlight w:val="none"/>
        </w:rPr>
        <w:t>信息公开</w:t>
      </w:r>
      <w:r>
        <w:rPr>
          <w:rFonts w:hint="eastAsia" w:ascii="仿宋_GB2312" w:hAnsi="宋体" w:eastAsia="仿宋_GB2312" w:cs="宋体"/>
          <w:spacing w:val="8"/>
          <w:kern w:val="0"/>
          <w:sz w:val="32"/>
          <w:szCs w:val="32"/>
          <w:highlight w:val="none"/>
          <w:lang w:eastAsia="zh-CN"/>
        </w:rPr>
        <w:t>工作</w:t>
      </w:r>
      <w:r>
        <w:rPr>
          <w:rFonts w:hint="eastAsia" w:ascii="仿宋_GB2312" w:hAnsi="宋体" w:eastAsia="仿宋_GB2312" w:cs="宋体"/>
          <w:spacing w:val="8"/>
          <w:kern w:val="0"/>
          <w:sz w:val="32"/>
          <w:szCs w:val="32"/>
          <w:highlight w:val="none"/>
        </w:rPr>
        <w:t>有关文件，</w:t>
      </w:r>
      <w:r>
        <w:rPr>
          <w:rFonts w:hint="eastAsia" w:ascii="仿宋_GB2312" w:hAnsi="仿宋_GB2312" w:eastAsia="仿宋_GB2312" w:cs="仿宋_GB2312"/>
          <w:b w:val="0"/>
          <w:bCs w:val="0"/>
          <w:color w:val="auto"/>
          <w:sz w:val="32"/>
          <w:szCs w:val="32"/>
          <w:highlight w:val="none"/>
          <w:lang w:eastAsia="zh-CN"/>
        </w:rPr>
        <w:t>积极参加区政务服务局组织的依申请公开培训；积极组织本单位信息公开工作人员以及各科室负责人开展政府信息公开培训</w:t>
      </w:r>
      <w:r>
        <w:rPr>
          <w:rFonts w:hint="eastAsia" w:ascii="仿宋_GB2312" w:hAnsi="仿宋_GB2312" w:eastAsia="仿宋_GB2312" w:cs="仿宋_GB2312"/>
          <w:b w:val="0"/>
          <w:bCs w:val="0"/>
          <w:color w:val="auto"/>
          <w:sz w:val="32"/>
          <w:szCs w:val="32"/>
          <w:highlight w:val="none"/>
          <w:lang w:val="en-US" w:eastAsia="zh-CN"/>
        </w:rPr>
        <w:t>3次。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0"/>
                <w:szCs w:val="20"/>
                <w:lang w:val="en-US" w:eastAsia="zh-CN"/>
              </w:rPr>
              <w:t>0</w:t>
            </w:r>
          </w:p>
        </w:tc>
      </w:tr>
    </w:tbl>
    <w:p>
      <w:pPr>
        <w:pStyle w:val="2"/>
        <w:numPr>
          <w:ilvl w:val="0"/>
          <w:numId w:val="0"/>
        </w:numPr>
        <w:rPr>
          <w:rFonts w:hint="eastAsia"/>
        </w:rPr>
      </w:pPr>
    </w:p>
    <w:p>
      <w:pPr>
        <w:pStyle w:val="2"/>
        <w:numPr>
          <w:ilvl w:val="0"/>
          <w:numId w:val="0"/>
        </w:numPr>
        <w:rPr>
          <w:rFonts w:hint="eastAsia"/>
        </w:rPr>
      </w:pPr>
      <w:r>
        <w:rPr>
          <w:rFonts w:hint="eastAsia"/>
        </w:rPr>
        <w:br w:type="page"/>
      </w: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c>
          <w:tcPr>
            <w:tcW w:w="689"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rPr>
              <w:t>0</w:t>
            </w:r>
          </w:p>
        </w:tc>
      </w:tr>
    </w:tbl>
    <w:p>
      <w:pPr>
        <w:pStyle w:val="2"/>
        <w:numPr>
          <w:ilvl w:val="0"/>
          <w:numId w:val="0"/>
        </w:numPr>
        <w:ind w:leftChars="200"/>
        <w:rPr>
          <w:rFonts w:hint="eastAsia"/>
        </w:rPr>
      </w:pPr>
    </w:p>
    <w:p>
      <w:pPr>
        <w:pStyle w:val="2"/>
        <w:numPr>
          <w:ilvl w:val="0"/>
          <w:numId w:val="0"/>
        </w:numPr>
        <w:ind w:leftChars="200"/>
        <w:rPr>
          <w:rFonts w:hint="eastAsia" w:eastAsia="宋体"/>
          <w:lang w:eastAsia="zh-CN"/>
        </w:rPr>
      </w:pPr>
    </w:p>
    <w:p>
      <w:pPr>
        <w:pStyle w:val="2"/>
        <w:numPr>
          <w:ilvl w:val="0"/>
          <w:numId w:val="0"/>
        </w:numPr>
        <w:ind w:leftChars="200"/>
        <w:rPr>
          <w:rFonts w:hint="eastAsia" w:eastAsia="宋体"/>
          <w:lang w:eastAsia="zh-CN"/>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widowControl/>
        <w:jc w:val="left"/>
      </w:pPr>
    </w:p>
    <w:p>
      <w:pPr>
        <w:keepNext w:val="0"/>
        <w:keepLines w:val="0"/>
        <w:pageBreakBefore w:val="0"/>
        <w:widowControl/>
        <w:kinsoku/>
        <w:overflowPunct/>
        <w:topLinePunct w:val="0"/>
        <w:autoSpaceDE/>
        <w:autoSpaceDN/>
        <w:bidi w:val="0"/>
        <w:adjustRightInd/>
        <w:snapToGrid/>
        <w:spacing w:line="600" w:lineRule="exact"/>
        <w:ind w:left="0" w:leftChars="0" w:right="0" w:rightChars="0"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五、存在的主要问题及改进情况</w:t>
      </w:r>
    </w:p>
    <w:p>
      <w:pPr>
        <w:keepNext w:val="0"/>
        <w:keepLines w:val="0"/>
        <w:pageBreakBefore w:val="0"/>
        <w:widowControl/>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宋体" w:eastAsia="仿宋_GB2312" w:cs="宋体"/>
          <w:spacing w:val="8"/>
          <w:kern w:val="0"/>
          <w:sz w:val="32"/>
          <w:szCs w:val="32"/>
          <w:highlight w:val="yellow"/>
        </w:rPr>
      </w:pPr>
      <w:r>
        <w:rPr>
          <w:rFonts w:hint="eastAsia" w:ascii="仿宋_GB2312" w:hAnsi="仿宋_GB2312" w:eastAsia="仿宋_GB2312" w:cs="仿宋_GB2312"/>
          <w:color w:val="auto"/>
          <w:sz w:val="32"/>
          <w:szCs w:val="32"/>
          <w:u w:val="none"/>
          <w:lang w:val="en-US" w:eastAsia="zh-CN"/>
        </w:rPr>
        <w:t>存在的主要问题：一是对政府信息公开工作有关政策把握能力不强，主动公开意识不足；二是公开形式单一，多以文字为主；三是公开形式的便民性需要进一步提高。</w:t>
      </w:r>
    </w:p>
    <w:p>
      <w:pPr>
        <w:keepNext w:val="0"/>
        <w:keepLines w:val="0"/>
        <w:pageBreakBefore w:val="0"/>
        <w:widowControl/>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下一步我局将按照《中华人民共和国政府信息公开条例》及市、区信息公开工作有关文件要求，做好以下几个方面工作</w:t>
      </w:r>
      <w:r>
        <w:rPr>
          <w:rFonts w:hint="eastAsia" w:ascii="仿宋_GB2312" w:hAnsi="仿宋_GB2312" w:eastAsia="仿宋_GB2312" w:cs="仿宋_GB2312"/>
          <w:color w:val="auto"/>
          <w:sz w:val="32"/>
          <w:szCs w:val="32"/>
          <w:highlight w:val="none"/>
          <w:u w:val="none"/>
          <w:lang w:val="en-US" w:eastAsia="zh-CN"/>
        </w:rPr>
        <w:t>：一是更加及时</w:t>
      </w:r>
      <w:r>
        <w:rPr>
          <w:rFonts w:hint="eastAsia" w:ascii="仿宋_GB2312" w:hAnsi="仿宋_GB2312" w:eastAsia="仿宋_GB2312" w:cs="仿宋_GB2312"/>
          <w:color w:val="auto"/>
          <w:sz w:val="32"/>
          <w:szCs w:val="32"/>
          <w:u w:val="none"/>
          <w:lang w:val="en-US" w:eastAsia="zh-CN"/>
        </w:rPr>
        <w:t>、准确地公开政府信息，确保“以公开为常态、不公开为例外”；二是丰富信息公开形式，采取图文模式、互动模式、视频模式，用更加“接地气”的方式更好地服务宣传、服务群众；三是进一步创新公开方法，拓宽公开渠道，确保操作简便明了，利于查找，让更多公众了解教育服务公开信息的查询方式和基本内容。</w:t>
      </w:r>
    </w:p>
    <w:p>
      <w:pPr>
        <w:keepNext w:val="0"/>
        <w:keepLines w:val="0"/>
        <w:pageBreakBefore w:val="0"/>
        <w:widowControl/>
        <w:kinsoku/>
        <w:overflowPunct/>
        <w:topLinePunct w:val="0"/>
        <w:autoSpaceDE/>
        <w:autoSpaceDN/>
        <w:bidi w:val="0"/>
        <w:adjustRightInd/>
        <w:snapToGrid/>
        <w:spacing w:line="600" w:lineRule="exact"/>
        <w:ind w:left="0" w:leftChars="0" w:right="0" w:rightChars="0" w:firstLine="675"/>
        <w:jc w:val="left"/>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lang w:eastAsia="zh-CN" w:bidi="ar-SA"/>
        </w:rPr>
      </w:pPr>
      <w:r>
        <w:rPr>
          <w:rFonts w:hint="eastAsia" w:ascii="楷体_GB2312" w:hAnsi="楷体_GB2312" w:eastAsia="楷体_GB2312" w:cs="楷体_GB2312"/>
          <w:b w:val="0"/>
          <w:bCs w:val="0"/>
          <w:color w:val="auto"/>
          <w:kern w:val="2"/>
          <w:sz w:val="32"/>
          <w:szCs w:val="32"/>
          <w:lang w:val="en-US" w:eastAsia="zh-CN" w:bidi="ar-SA"/>
        </w:rPr>
        <w:t>1.收取信息处理费情况</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eastAsia="zh-CN" w:bidi="ar-SA"/>
        </w:rPr>
        <w:t>本单位依据《政府信息公开信息处理费管理办法》收取信息处理费，发出收费通知件数和总金额以及实际收取总金额均为0元。</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u w:val="none"/>
          <w:lang w:eastAsia="zh-CN"/>
        </w:rPr>
      </w:pPr>
      <w:r>
        <w:rPr>
          <w:rFonts w:hint="eastAsia" w:ascii="楷体_GB2312" w:hAnsi="楷体_GB2312" w:eastAsia="楷体_GB2312" w:cs="楷体_GB2312"/>
          <w:b w:val="0"/>
          <w:bCs w:val="0"/>
          <w:color w:val="auto"/>
          <w:sz w:val="32"/>
          <w:szCs w:val="32"/>
          <w:u w:val="none"/>
          <w:lang w:val="en-US" w:eastAsia="zh-CN"/>
        </w:rPr>
        <w:t>2.</w:t>
      </w:r>
      <w:r>
        <w:rPr>
          <w:rFonts w:hint="eastAsia" w:ascii="楷体_GB2312" w:hAnsi="楷体_GB2312" w:eastAsia="楷体_GB2312" w:cs="楷体_GB2312"/>
          <w:b w:val="0"/>
          <w:bCs w:val="0"/>
          <w:color w:val="auto"/>
          <w:sz w:val="32"/>
          <w:szCs w:val="32"/>
          <w:u w:val="none"/>
          <w:lang w:eastAsia="zh-CN"/>
        </w:rPr>
        <w:t>其他事项</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北京市东城区人民政府门户网站（网址为http://www.bjdch.gov.cn/），如需了解更多政府信息，请登录查询。</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北京市东城区园林绿化局</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2024年1月5日       </w:t>
      </w:r>
    </w:p>
    <w:p>
      <w:pPr>
        <w:keepNext w:val="0"/>
        <w:keepLines w:val="0"/>
        <w:pageBreakBefore w:val="0"/>
        <w:widowControl/>
        <w:kinsoku/>
        <w:overflowPunct/>
        <w:topLinePunct w:val="0"/>
        <w:autoSpaceDE/>
        <w:autoSpaceDN/>
        <w:bidi w:val="0"/>
        <w:adjustRightInd/>
        <w:snapToGrid/>
        <w:spacing w:line="600" w:lineRule="exact"/>
        <w:ind w:left="0" w:leftChars="0" w:right="0" w:rightChars="0"/>
        <w:jc w:val="left"/>
        <w:textAlignment w:val="auto"/>
        <w:rPr>
          <w:rFonts w:hint="eastAsia" w:ascii="仿宋_GB2312" w:hAnsi="宋体" w:eastAsia="仿宋_GB2312" w:cs="宋体"/>
          <w:color w:val="9BC2E6"/>
          <w:spacing w:val="8"/>
          <w:kern w:val="0"/>
          <w:sz w:val="32"/>
          <w:szCs w:val="32"/>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pPr>
    </w:p>
    <w:p>
      <w:pPr>
        <w:pStyle w:val="2"/>
        <w:keepNext w:val="0"/>
        <w:keepLines w:val="0"/>
        <w:pageBreakBefore w:val="0"/>
        <w:kinsoku/>
        <w:overflowPunct/>
        <w:topLinePunct w:val="0"/>
        <w:autoSpaceDE/>
        <w:autoSpaceDN/>
        <w:bidi w:val="0"/>
        <w:adjustRightInd/>
        <w:snapToGrid/>
        <w:spacing w:line="600" w:lineRule="exact"/>
        <w:ind w:left="0" w:leftChars="0" w:right="0" w:rightChars="0"/>
        <w:textAlignment w:val="auto"/>
        <w:rPr>
          <w:rFonts w:hint="eastAsia"/>
        </w:rPr>
      </w:pPr>
    </w:p>
    <w:p>
      <w:pPr>
        <w:pStyle w:val="2"/>
        <w:keepNext w:val="0"/>
        <w:keepLines w:val="0"/>
        <w:pageBreakBefore w:val="0"/>
        <w:kinsoku/>
        <w:overflowPunct/>
        <w:topLinePunct w:val="0"/>
        <w:autoSpaceDE/>
        <w:autoSpaceDN/>
        <w:bidi w:val="0"/>
        <w:adjustRightInd/>
        <w:snapToGrid/>
        <w:spacing w:line="600" w:lineRule="exact"/>
        <w:ind w:left="0" w:leftChars="0" w:right="0" w:rightChars="0"/>
        <w:textAlignment w:val="auto"/>
        <w:rPr>
          <w:rFonts w:hint="eastAsia"/>
        </w:rPr>
      </w:pPr>
    </w:p>
    <w:p>
      <w:pPr>
        <w:pStyle w:val="2"/>
        <w:keepNext w:val="0"/>
        <w:keepLines w:val="0"/>
        <w:pageBreakBefore w:val="0"/>
        <w:kinsoku/>
        <w:overflowPunct/>
        <w:topLinePunct w:val="0"/>
        <w:autoSpaceDE/>
        <w:autoSpaceDN/>
        <w:bidi w:val="0"/>
        <w:adjustRightInd/>
        <w:snapToGrid/>
        <w:spacing w:line="600" w:lineRule="exact"/>
        <w:ind w:left="0" w:leftChars="0" w:right="0" w:rightChars="0"/>
        <w:textAlignment w:val="auto"/>
        <w:rPr>
          <w:rFonts w:hint="eastAsia"/>
        </w:rPr>
      </w:pPr>
    </w:p>
    <w:p>
      <w:pPr>
        <w:pStyle w:val="2"/>
        <w:keepNext w:val="0"/>
        <w:keepLines w:val="0"/>
        <w:pageBreakBefore w:val="0"/>
        <w:kinsoku/>
        <w:overflowPunct/>
        <w:topLinePunct w:val="0"/>
        <w:autoSpaceDE/>
        <w:autoSpaceDN/>
        <w:bidi w:val="0"/>
        <w:adjustRightInd/>
        <w:snapToGrid/>
        <w:spacing w:line="600" w:lineRule="exact"/>
        <w:ind w:left="0" w:leftChars="0" w:right="0" w:rightChars="0"/>
        <w:textAlignment w:val="auto"/>
        <w:rPr>
          <w:rFonts w:hint="eastAsia"/>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MzE4MGRjYzlmYzc1ZDA5NmEyZjM0NWU3ZTRmNTUifQ=="/>
  </w:docVars>
  <w:rsids>
    <w:rsidRoot w:val="651133F4"/>
    <w:rsid w:val="05996684"/>
    <w:rsid w:val="09CF5675"/>
    <w:rsid w:val="0AD465ED"/>
    <w:rsid w:val="0CEF2150"/>
    <w:rsid w:val="149E1ECB"/>
    <w:rsid w:val="15C0709F"/>
    <w:rsid w:val="15C9363F"/>
    <w:rsid w:val="15F0734E"/>
    <w:rsid w:val="19BB461E"/>
    <w:rsid w:val="1BA649C1"/>
    <w:rsid w:val="1C1B3BAB"/>
    <w:rsid w:val="1E2C655E"/>
    <w:rsid w:val="1E81695A"/>
    <w:rsid w:val="1FF2098A"/>
    <w:rsid w:val="21797FD6"/>
    <w:rsid w:val="2DB172B0"/>
    <w:rsid w:val="2E5825E0"/>
    <w:rsid w:val="2ED61C81"/>
    <w:rsid w:val="3A074953"/>
    <w:rsid w:val="40045EAF"/>
    <w:rsid w:val="411E5315"/>
    <w:rsid w:val="47BF5B97"/>
    <w:rsid w:val="48892D8D"/>
    <w:rsid w:val="4F5D6030"/>
    <w:rsid w:val="5105362C"/>
    <w:rsid w:val="522858B8"/>
    <w:rsid w:val="589A64AC"/>
    <w:rsid w:val="58D731E3"/>
    <w:rsid w:val="5BFA381E"/>
    <w:rsid w:val="651133F4"/>
    <w:rsid w:val="71944901"/>
    <w:rsid w:val="7FE6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2024-01-03T01:47:00Z</dcterms:created>
  <dc:creator>lenovo</dc:creator>
  <cp:lastModifiedBy>名字不重要</cp:lastModifiedBy>
  <dcterms:modified xsi:type="dcterms:W3CDTF">2024-03-07T02:46:49Z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9027AA5A657C4D738A3B3E301FABEB6E_12</vt:lpwstr>
  </property>
</Properties>
</file>