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北京市东城区城市管理委员会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ind w:right="0"/>
        <w:jc w:val="center"/>
        <w:textAlignment w:val="auto"/>
        <w:rPr>
          <w:sz w:val="44"/>
          <w:szCs w:val="44"/>
        </w:rPr>
      </w:pP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highlight w:val="none"/>
        </w:rPr>
        <w:t>总体情况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  <w:lang w:val="en-US" w:eastAsia="zh-CN"/>
        </w:rPr>
        <w:t>2023年，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  <w:lang w:eastAsia="zh-CN"/>
        </w:rPr>
        <w:t>东城区城市管理委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</w:rPr>
        <w:t>高度重视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  <w:lang w:eastAsia="zh-CN"/>
        </w:rPr>
        <w:t>政府信息公开工作，严格落实《中华人民共和国政府信息公开条例》有关要求，全面推进决策、执行、管理、服务、结果公开，规范公开流程，结合东城区城市管理工作实际，推动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8"/>
          <w:sz w:val="32"/>
          <w:szCs w:val="32"/>
          <w:highlight w:val="none"/>
          <w:shd w:val="clear" w:color="070000" w:fill="FFFFFF"/>
          <w:lang w:eastAsia="zh-CN"/>
        </w:rPr>
        <w:t>“应公开尽公开”，全面提升政务公开质量和实效。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（一）组织领导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东城区城市管理委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政府信息公开工作领导小组由委主要领导担任组长，主管领导负责业务指导，办公室统筹各职能科室开展具体工作，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eastAsia="zh-CN"/>
        </w:rPr>
        <w:t>由提供相关主动公开及依申请信息资料科室主管领导初步审批，办公室、法制科、党建科（负责保密工作）及科室主管领导逐一审批，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形成上下联动、同向发力</w:t>
      </w:r>
      <w:r>
        <w:rPr>
          <w:rFonts w:hint="eastAsia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信息公开工作体系，在区政务服务局的指导下扎实开展政府信息公开工作。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（二）主动公开政府信息情况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1.202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年，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主动公开政府信息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213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条，其中，通知公告类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条、工作动态类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条、执法检查类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条、政策性文件意见征求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条、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信息主动公开全清单1条、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信息公开年报1条，利用东城区城管委官方微信公众号发布工作动态信息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83篇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highlight w:val="none"/>
          <w:shd w:val="clear" w:color="080000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更新公开指南1条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、更新领导介绍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val="en-US" w:eastAsia="zh-CN"/>
        </w:rPr>
        <w:t>1条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5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val="en-US" w:eastAsia="zh-CN"/>
        </w:rPr>
        <w:t>2.2023年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通过北京市东城区人民政府网站对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我委基本信息（包括：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机构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</w:rPr>
        <w:t>职能、机构设置、领导介绍、办公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地址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</w:rPr>
        <w:t>、联系方式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70000" w:fill="FFFFFF"/>
          <w:lang w:eastAsia="zh-CN"/>
        </w:rPr>
        <w:t>等）、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权力清单、行政许可与行政处罚“双公示”“双随机”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财政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预算、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财政决算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情况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进行了主动公示和实时更新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</w:rPr>
        <w:t>。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lang w:val="en-US" w:eastAsia="zh-CN" w:bidi="ar-SA"/>
        </w:rPr>
        <w:t>（三）依申请公开办理情况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年，我委受理政府信息公开申请共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件，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相较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去年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少一件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，均已按期答复。在所有已答复件中，根据政府信息公开有关规定，“予以公开”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件、“信息不存在”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件、“不属于本机关公开”2件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 w:bidi="ar-SA"/>
        </w:rPr>
        <w:t>（四）政府信息公开平台建设情况</w:t>
      </w:r>
    </w:p>
    <w:p>
      <w:pPr>
        <w:pStyle w:val="2"/>
        <w:widowControl w:val="0"/>
        <w:wordWrap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年，我委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积极做好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政府信息公开平台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的运行维护工作，主动在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北京市东城区人民政府网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站实时更新需公开的信息，在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东城区城管委官方微信公众号发布工作动态信息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，进一步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提供高效透明的信息公开服务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8"/>
          <w:sz w:val="32"/>
          <w:szCs w:val="32"/>
          <w:shd w:val="clear" w:color="070000" w:fill="FFFFFF"/>
          <w:lang w:val="en-US" w:eastAsia="zh-CN"/>
        </w:rPr>
        <w:t>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72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404040"/>
          <w:spacing w:val="0"/>
          <w:sz w:val="24"/>
          <w:szCs w:val="24"/>
          <w:highlight w:val="none"/>
        </w:rPr>
      </w:pPr>
      <w:r>
        <w:rPr>
          <w:rFonts w:hint="default" w:ascii="楷体_GB2312" w:hAnsi="楷体_GB2312" w:eastAsia="楷体_GB2312" w:cs="楷体_GB2312"/>
          <w:spacing w:val="8"/>
          <w:kern w:val="0"/>
          <w:sz w:val="32"/>
          <w:szCs w:val="32"/>
          <w:highlight w:val="none"/>
          <w:lang w:val="en-US" w:eastAsia="zh-CN" w:bidi="ar-SA"/>
        </w:rPr>
        <w:t>（五）政府信息公开监督保障及教育培训情况</w:t>
      </w:r>
    </w:p>
    <w:p>
      <w:pPr>
        <w:wordWrap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按照区委、区政府关于做好政府信息公开工作的要求，我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委</w:t>
      </w:r>
      <w:r>
        <w:rPr>
          <w:rFonts w:hint="eastAsia" w:eastAsia="仿宋_GB2312" w:cs="Times New Roman"/>
          <w:sz w:val="32"/>
          <w:highlight w:val="none"/>
          <w:lang w:eastAsia="zh-CN"/>
        </w:rPr>
        <w:t>全年共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组织各科室认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真学习领会《中华人民共和国政府信息公开条例》的精神和区政务服务局对政府信息公开工作要求</w:t>
      </w:r>
      <w:r>
        <w:rPr>
          <w:rFonts w:hint="eastAsia" w:eastAsia="仿宋_GB2312" w:cs="Times New Roman"/>
          <w:sz w:val="32"/>
          <w:highlight w:val="none"/>
          <w:lang w:val="en-US" w:eastAsia="zh-CN"/>
        </w:rPr>
        <w:t>2次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，</w:t>
      </w:r>
      <w:r>
        <w:rPr>
          <w:rFonts w:hint="eastAsia" w:eastAsia="仿宋_GB2312" w:cs="Times New Roman"/>
          <w:sz w:val="32"/>
          <w:highlight w:val="none"/>
          <w:lang w:eastAsia="zh-CN"/>
        </w:rPr>
        <w:t>严格按照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《北京市东城区城管委信息公开及网站管理制度》及《北京市东城区城管委依申请公开政府信息工作办法》</w:t>
      </w:r>
      <w:r>
        <w:rPr>
          <w:rFonts w:hint="eastAsia" w:eastAsia="仿宋_GB2312" w:cs="Times New Roman"/>
          <w:sz w:val="32"/>
          <w:highlight w:val="none"/>
          <w:lang w:eastAsia="zh-CN"/>
        </w:rPr>
        <w:t>开展政府信息公开工作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，</w:t>
      </w:r>
      <w:r>
        <w:rPr>
          <w:rFonts w:hint="eastAsia" w:eastAsia="仿宋_GB2312" w:cs="Times New Roman"/>
          <w:sz w:val="32"/>
          <w:highlight w:val="none"/>
          <w:lang w:eastAsia="zh-CN"/>
        </w:rPr>
        <w:t>每项公开的信息都严格进行公开前的保密性审查，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切实将政府信息公开工作</w:t>
      </w:r>
      <w:r>
        <w:rPr>
          <w:rFonts w:hint="eastAsia" w:eastAsia="仿宋_GB2312" w:cs="Times New Roman"/>
          <w:sz w:val="32"/>
          <w:highlight w:val="none"/>
          <w:lang w:eastAsia="zh-CN"/>
        </w:rPr>
        <w:t>的各项要求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落实到我委的各项工作中。</w:t>
      </w:r>
    </w:p>
    <w:p>
      <w:pPr>
        <w:numPr>
          <w:ilvl w:val="0"/>
          <w:numId w:val="0"/>
        </w:numPr>
        <w:spacing w:line="560" w:lineRule="exact"/>
        <w:ind w:right="0"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740" w:type="dxa"/>
        <w:jc w:val="center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9014.24</w:t>
            </w:r>
          </w:p>
        </w:tc>
      </w:tr>
    </w:tbl>
    <w:p>
      <w:pPr>
        <w:pStyle w:val="2"/>
        <w:numPr>
          <w:ilvl w:val="0"/>
          <w:numId w:val="0"/>
        </w:numPr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numPr>
          <w:ilvl w:val="0"/>
          <w:numId w:val="0"/>
        </w:numPr>
        <w:spacing w:line="560" w:lineRule="exact"/>
        <w:ind w:right="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4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line="560" w:lineRule="exac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560" w:lineRule="exact"/>
        <w:ind w:right="0" w:firstLine="640" w:firstLineChars="200"/>
        <w:textAlignment w:val="auto"/>
        <w:rPr>
          <w:rFonts w:hint="default"/>
          <w:color w:val="FF0000"/>
          <w:sz w:val="18"/>
          <w:szCs w:val="18"/>
        </w:rPr>
      </w:pPr>
      <w:r>
        <w:rPr>
          <w:rFonts w:hint="eastAsia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政府信息公开行政复议、行政诉讼情况</w:t>
      </w:r>
    </w:p>
    <w:p>
      <w:pPr>
        <w:pStyle w:val="2"/>
        <w:rPr>
          <w:rFonts w:hint="default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Autospacing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cs="Times New Roman"/>
          <w:spacing w:val="8"/>
          <w:kern w:val="0"/>
          <w:sz w:val="24"/>
          <w:highlight w:val="yellow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highlight w:val="none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left"/>
        <w:textAlignment w:val="auto"/>
        <w:outlineLvl w:val="9"/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val="en-US" w:eastAsia="zh-CN"/>
        </w:rPr>
        <w:t>我委政府信息公开工作中还存在一些问题和不足，主要表现在：一是部分业务科室政府信息</w:t>
      </w: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公开意识薄弱；二是依申请公开办理的规范性有待进一步提升。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highlight w:val="none"/>
          <w:shd w:val="clear" w:fill="FFFFFF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highlight w:val="none"/>
          <w:shd w:val="clear" w:fill="FFFFFF"/>
        </w:rPr>
        <w:t>本机关针对性地采取改进措施，全面推进政府信息公开工作：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000000"/>
          <w:spacing w:val="8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是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highlight w:val="none"/>
          <w:shd w:val="clear" w:fill="FFFFFF"/>
        </w:rPr>
        <w:t>加强政府信息公开队伍建设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highlight w:val="none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我委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将持续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有计划、有层次地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15"/>
          <w:sz w:val="31"/>
          <w:szCs w:val="31"/>
          <w:highlight w:val="none"/>
          <w:shd w:val="clear" w:fill="FFFFFF"/>
        </w:rPr>
        <w:t>强化业务培训，逐步提升政务公开意识、能力和水平。收集研究依申请公开典型案例，学习借鉴经验做法，进一步深化对依申请公开工作规律的认识和把握。加强部门间沟通协调，针对复杂疑难的信息公开申请，完善协同办理、会商办理机制，确保答复审慎准确、合法合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2" w:firstLineChars="200"/>
        <w:jc w:val="left"/>
        <w:textAlignment w:val="auto"/>
        <w:outlineLvl w:val="9"/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</w:pP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二是加强依申请公开工作的规范办理工作。依据</w:t>
      </w:r>
      <w:r>
        <w:rPr>
          <w:rFonts w:hint="default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《政府信息公开条例》</w:t>
      </w: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《北京市东城区城管委依申请公开政府信息工作办法》</w:t>
      </w:r>
      <w:r>
        <w:rPr>
          <w:rFonts w:hint="eastAsia" w:eastAsia="仿宋_GB2312" w:cs="Times New Roman"/>
          <w:sz w:val="32"/>
          <w:highlight w:val="none"/>
          <w:lang w:eastAsia="zh-CN"/>
        </w:rPr>
        <w:t>开展相关工作</w:t>
      </w: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highlight w:val="none"/>
          <w:shd w:val="clear" w:color="080000" w:fill="FFFFFF"/>
          <w:lang w:eastAsia="zh-CN"/>
        </w:rPr>
        <w:t>，同时进一步规范办理流程，严格审批留痕，为申请人依法准确获取政府信息提供便利。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5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/>
          <w:color w:val="000000"/>
        </w:rPr>
      </w:pPr>
      <w:r>
        <w:rPr>
          <w:rFonts w:hint="default" w:ascii="Times New Roman" w:hAnsi="Times New Roman" w:cs="Times New Roman"/>
          <w:color w:val="000000"/>
          <w:spacing w:val="8"/>
          <w:kern w:val="0"/>
          <w:sz w:val="32"/>
          <w:szCs w:val="32"/>
        </w:rPr>
        <w:t>　</w:t>
      </w:r>
      <w:r>
        <w:rPr>
          <w:rFonts w:hint="default" w:ascii="Times New Roman" w:hAnsi="Times New Roman" w:cs="Times New Roman"/>
          <w:color w:val="000000"/>
          <w:spacing w:val="8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shd w:val="clear" w:color="070000" w:fill="FFFFFF"/>
          <w:lang w:eastAsia="zh-CN"/>
        </w:rPr>
        <w:t>202</w:t>
      </w:r>
      <w:r>
        <w:rPr>
          <w:rFonts w:hint="eastAsia" w:eastAsia="仿宋_GB2312" w:cs="Times New Roman"/>
          <w:i w:val="0"/>
          <w:caps w:val="0"/>
          <w:color w:val="000000"/>
          <w:spacing w:val="8"/>
          <w:sz w:val="31"/>
          <w:szCs w:val="31"/>
          <w:shd w:val="clear" w:color="070000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8"/>
          <w:sz w:val="31"/>
          <w:szCs w:val="31"/>
          <w:shd w:val="clear" w:color="070000" w:fill="FFFFFF"/>
          <w:lang w:eastAsia="zh-CN"/>
        </w:rPr>
        <w:t>年，我委未产生政府信息处理费，发出收费通知的件数和总金额以及实际收取的总金额均为0。北京市东城区人民政府网址为http://www.bjdch.gov.cn/如需了解更多政府信息，请登录上述网址查询。</w:t>
      </w:r>
    </w:p>
    <w:p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71D0"/>
    <w:multiLevelType w:val="singleLevel"/>
    <w:tmpl w:val="63BE71D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61CF"/>
    <w:rsid w:val="02A8655F"/>
    <w:rsid w:val="042D0661"/>
    <w:rsid w:val="05051837"/>
    <w:rsid w:val="06817011"/>
    <w:rsid w:val="1672152F"/>
    <w:rsid w:val="1CC37C61"/>
    <w:rsid w:val="1EE34FF6"/>
    <w:rsid w:val="20F940D0"/>
    <w:rsid w:val="22060FBB"/>
    <w:rsid w:val="22534BB1"/>
    <w:rsid w:val="24EB0E07"/>
    <w:rsid w:val="2BB23F67"/>
    <w:rsid w:val="2CD43181"/>
    <w:rsid w:val="2D3F53AB"/>
    <w:rsid w:val="2F73063E"/>
    <w:rsid w:val="325B4D65"/>
    <w:rsid w:val="330825FD"/>
    <w:rsid w:val="35EB2897"/>
    <w:rsid w:val="376710AC"/>
    <w:rsid w:val="3BBF59A3"/>
    <w:rsid w:val="411C3543"/>
    <w:rsid w:val="47B57805"/>
    <w:rsid w:val="4BE0387D"/>
    <w:rsid w:val="4CDF54B6"/>
    <w:rsid w:val="50145F81"/>
    <w:rsid w:val="51324BE9"/>
    <w:rsid w:val="523E5D9A"/>
    <w:rsid w:val="5C384FD5"/>
    <w:rsid w:val="5D012470"/>
    <w:rsid w:val="5DCE2BDF"/>
    <w:rsid w:val="5E3A10F3"/>
    <w:rsid w:val="63C140B6"/>
    <w:rsid w:val="699738FF"/>
    <w:rsid w:val="6E396D1B"/>
    <w:rsid w:val="7446181E"/>
    <w:rsid w:val="74DD6291"/>
    <w:rsid w:val="758922C5"/>
    <w:rsid w:val="76BE6CC3"/>
    <w:rsid w:val="79F05DC7"/>
    <w:rsid w:val="79F279BC"/>
    <w:rsid w:val="7DA14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HYQ</cp:lastModifiedBy>
  <cp:lastPrinted>2023-01-12T07:30:00Z</cp:lastPrinted>
  <dcterms:modified xsi:type="dcterms:W3CDTF">2024-01-12T08:35:21Z</dcterms:modified>
  <dc:title>北京市东城区城市管理委员会2023年政府信息公开工作年度报告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