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4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东城区民政局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202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3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年政府信息公开</w:t>
      </w:r>
    </w:p>
    <w:p>
      <w:pPr>
        <w:pStyle w:val="style0"/>
        <w:spacing w:lineRule="exact" w:line="54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工作年度报告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00"/>
        <w:ind w:left="0" w:leftChars="0" w:right="0" w:rightChars="0"/>
        <w:jc w:val="both"/>
        <w:textAlignment w:val="auto"/>
        <w:rPr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0" w:firstLineChars="0"/>
        <w:jc w:val="both"/>
        <w:textAlignment w:val="auto"/>
        <w:rPr>
          <w:rFonts w:ascii="仿宋_GB2312" w:cs="宋体" w:eastAsia="仿宋_GB2312" w:hAnsi="宋体" w:hint="eastAsia"/>
          <w:spacing w:val="8"/>
          <w:kern w:val="0"/>
          <w:sz w:val="32"/>
          <w:szCs w:val="32"/>
        </w:rPr>
      </w:pPr>
      <w:r>
        <w:rPr>
          <w:rFonts w:ascii="微软雅黑" w:cs="宋体" w:eastAsia="微软雅黑" w:hAnsi="微软雅黑" w:hint="eastAsia"/>
          <w:color w:val="404040"/>
          <w:kern w:val="0"/>
          <w:sz w:val="24"/>
        </w:rPr>
        <w:t>　</w:t>
      </w:r>
      <w:r>
        <w:rPr>
          <w:rFonts w:ascii="微软雅黑" w:cs="宋体" w:eastAsia="微软雅黑" w:hAnsi="微软雅黑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cs="宋体" w:eastAsia="微软雅黑" w:hAnsi="微软雅黑"/>
          <w:color w:val="404040"/>
          <w:kern w:val="0"/>
          <w:sz w:val="32"/>
          <w:szCs w:val="32"/>
        </w:rPr>
        <w:t xml:space="preserve">  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依据</w:t>
      </w:r>
      <w:r>
        <w:rPr>
          <w:rFonts w:ascii="仿宋_GB2312" w:cs="宋体" w:eastAsia="仿宋_GB2312" w:hAnsi="宋体" w:hint="default"/>
          <w:spacing w:val="8"/>
          <w:kern w:val="0"/>
          <w:sz w:val="32"/>
          <w:szCs w:val="32"/>
          <w:lang w:val="en-US" w:eastAsia="zh-CN"/>
        </w:rPr>
        <w:t>《中华人民共和国政府信息公开条例》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和</w:t>
      </w:r>
      <w:r>
        <w:rPr>
          <w:rFonts w:ascii="仿宋_GB2312" w:cs="宋体" w:eastAsia="仿宋_GB2312" w:hAnsi="宋体" w:hint="default"/>
          <w:spacing w:val="8"/>
          <w:kern w:val="0"/>
          <w:sz w:val="32"/>
          <w:szCs w:val="32"/>
          <w:lang w:val="en-US" w:eastAsia="zh-CN"/>
        </w:rPr>
        <w:t>《中华人民共和国政府信息公开工作年度报告格式》通知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要求，编制本报告。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2" w:firstLineChars="200"/>
        <w:jc w:val="both"/>
        <w:textAlignment w:val="auto"/>
        <w:rPr>
          <w:highlight w:val="none"/>
        </w:rPr>
      </w:pPr>
      <w:r>
        <w:rPr>
          <w:rFonts w:ascii="黑体" w:cs="宋体" w:eastAsia="黑体" w:hAnsi="黑体"/>
          <w:spacing w:val="8"/>
          <w:kern w:val="0"/>
          <w:sz w:val="32"/>
          <w:szCs w:val="32"/>
        </w:rPr>
        <w:t>一、总体情况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 w:val="false"/>
        <w:snapToGrid w:val="false"/>
        <w:spacing w:before="0" w:beforeAutospacing="false" w:after="0" w:afterAutospacing="false"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2023年东城区民政局</w:t>
      </w:r>
      <w:r>
        <w:rPr>
          <w:rFonts w:ascii="仿宋_GB2312" w:cs="宋体" w:eastAsia="仿宋_GB2312" w:hAnsi="宋体" w:hint="default"/>
          <w:spacing w:val="8"/>
          <w:kern w:val="0"/>
          <w:sz w:val="32"/>
          <w:szCs w:val="32"/>
          <w:lang w:val="en-US" w:bidi="ar-SA" w:eastAsia="zh-CN"/>
        </w:rPr>
        <w:t>在坚持政务信息公开、透明、规范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的基础上，加强保密审查，落实对外办公电话、政务新媒体的监督与保障，</w:t>
      </w:r>
      <w:r>
        <w:rPr>
          <w:rFonts w:ascii="仿宋_GB2312" w:cs="宋体" w:eastAsia="仿宋_GB2312" w:hAnsi="宋体" w:hint="default"/>
          <w:spacing w:val="8"/>
          <w:kern w:val="0"/>
          <w:sz w:val="32"/>
          <w:szCs w:val="32"/>
          <w:lang w:val="en-US" w:bidi="ar-SA" w:eastAsia="zh-CN"/>
        </w:rPr>
        <w:t>准确及时地向公众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发布政务信息</w:t>
      </w:r>
      <w:r>
        <w:rPr>
          <w:rFonts w:ascii="仿宋_GB2312" w:cs="宋体" w:eastAsia="仿宋_GB2312" w:hAnsi="宋体" w:hint="default"/>
          <w:spacing w:val="8"/>
          <w:kern w:val="0"/>
          <w:sz w:val="32"/>
          <w:szCs w:val="32"/>
          <w:lang w:val="en-US" w:bidi="ar-SA" w:eastAsia="zh-CN"/>
        </w:rPr>
        <w:t>。现将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工作情况报告如下：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2" w:firstLineChars="200"/>
        <w:jc w:val="both"/>
        <w:textAlignment w:val="auto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领导班子高度重视政府信息公开工作，专题研究部署任务，主管局长亲自抓落实。设立信息公开领导小组，负责协调委局政府信息公开工作，办公室设专人负责统一受理答复依申请公开案件；发布主动公开信息；落实上级下达的各项信息公开工作。业务科室负责提供本科室依申请公开案件的初级答复意见，配合提供主动公开信息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5" w:firstLineChars="200"/>
        <w:jc w:val="both"/>
        <w:textAlignment w:val="auto"/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（一）依据</w:t>
      </w:r>
      <w:r>
        <w:rPr>
          <w:rFonts w:ascii="楷体" w:cs="楷体" w:eastAsia="楷体" w:hAnsi="楷体" w:hint="default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《北京市东城区2023年政务公开工作要点》</w:t>
      </w:r>
      <w:r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认真</w:t>
      </w:r>
      <w:r>
        <w:rPr>
          <w:rFonts w:ascii="楷体" w:cs="楷体" w:eastAsia="楷体" w:hAnsi="楷体" w:hint="default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落实</w:t>
      </w:r>
      <w:r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政务公开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1、主管局长召开会议要求积极落实要点精神，协调依申请工作中遇到的急难问题。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2、主动更新指南、全清单、单位职能、人事变动等信息。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3、发布《关于组织开展创新居家养老服务模式“揭榜挂帅”工作公告》、《关于调整本市最低生活保障标准的通知》等养老、社会救助政策与解读；政府开放日期间制作流浪乞讨救助工作宣传片；补充完善区级网站政务公开素材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4、围绕保障改善民生发布养老服务驿站、养老助餐等信息；围绕“七有”“五性”按月发布最低生活保障、临时困难保障、享受特困供养待遇、低收入保障、高等入学保障等社会救助信息；同时，主动公开社会组织、社会福利、慈善捐赠等重点领域信息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5、完善行政执法信息，发布执法人员信息、执法检查计划、双随机抽查事项清单、执法检查和行政处罚结果等。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6、打造政务新媒体宣传平台——东城民政公众号，积极宣传民政工作。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5" w:firstLineChars="200"/>
        <w:jc w:val="both"/>
        <w:textAlignment w:val="auto"/>
        <w:rPr>
          <w:rFonts w:ascii="仿宋_GB2312" w:cs="宋体" w:eastAsia="仿宋_GB2312" w:hAnsi="宋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（二）加强主动公开信息的安全审查</w:t>
      </w:r>
    </w:p>
    <w:p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2" w:firstLineChars="200"/>
        <w:jc w:val="both"/>
        <w:textAlignment w:val="auto"/>
        <w:rPr>
          <w:rFonts w:ascii="仿宋_GB2312" w:cs="宋体" w:eastAsia="仿宋_GB2312" w:hAnsi="宋体" w:hint="eastAsia"/>
          <w:spacing w:val="8"/>
          <w:kern w:val="0"/>
          <w:sz w:val="32"/>
          <w:szCs w:val="32"/>
          <w:highlight w:val="none"/>
          <w:lang w:val="en-US" w:bidi="ar-SA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严格落实“一事一审，先审后发”的保密审查制度，把好信息发布的安全关。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5" w:firstLineChars="200"/>
        <w:jc w:val="both"/>
        <w:textAlignment w:val="auto"/>
        <w:rPr>
          <w:rFonts w:ascii="仿宋_GB2312" w:cs="宋体" w:eastAsia="仿宋_GB2312" w:hAnsi="宋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（三）积极做好依申请公开案件的答复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积极落实依申请公开案件的答复，聘请律师对答复材料进行审查，确保答复内容符合法律法规要求。全年收到政府信息公开申请3件，均已按要求在法定时限内给予答复，并得到当事人认可。全年未发生政府信息公开行政复议、行政诉讼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left="0" w:leftChars="0" w:right="0" w:rightChars="0" w:firstLine="675" w:firstLineChars="200"/>
        <w:jc w:val="both"/>
        <w:textAlignment w:val="auto"/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spacing w:val="8"/>
          <w:kern w:val="0"/>
          <w:sz w:val="32"/>
          <w:szCs w:val="32"/>
          <w:highlight w:val="none"/>
          <w:lang w:val="en-US" w:bidi="ar-SA" w:eastAsia="zh-CN"/>
        </w:rPr>
        <w:t>开展教育培训情况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N/>
        <w:bidi w:val="false"/>
        <w:adjustRightInd w:val="false"/>
        <w:snapToGrid w:val="false"/>
        <w:spacing w:lineRule="exact" w:line="560"/>
        <w:ind w:right="0" w:rightChars="0" w:firstLine="672" w:firstLineChars="200"/>
        <w:jc w:val="both"/>
        <w:textAlignment w:val="auto"/>
        <w:rPr>
          <w:rFonts w:ascii="仿宋_GB2312" w:cs="宋体" w:eastAsia="仿宋_GB2312" w:hAnsi="宋体" w:hint="eastAsia"/>
          <w:spacing w:val="8"/>
          <w:kern w:val="0"/>
          <w:sz w:val="32"/>
          <w:szCs w:val="32"/>
          <w:highlight w:val="none"/>
          <w:lang w:val="en-US" w:bidi="ar-SA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积极组织相关科室参加上级业务培训1次。在局内开展重点领域信息公开内容梳理,完善内容发布。</w:t>
      </w:r>
    </w:p>
    <w:p>
      <w:pPr>
        <w:pStyle w:val="style0"/>
        <w:widowControl/>
        <w:wordWrap/>
        <w:adjustRightInd w:val="false"/>
        <w:snapToGrid w:val="false"/>
        <w:spacing w:lineRule="exact" w:line="500"/>
        <w:ind w:right="0" w:firstLine="672" w:firstLineChars="200"/>
        <w:jc w:val="both"/>
        <w:textAlignment w:val="auto"/>
        <w:rPr>
          <w:rFonts w:hint="eastAsia"/>
          <w:highlight w:val="none"/>
        </w:rPr>
      </w:pPr>
      <w:r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  <w:t>二、</w:t>
      </w:r>
      <w:r>
        <w:rPr>
          <w:rFonts w:ascii="黑体" w:cs="宋体" w:eastAsia="黑体" w:hAnsi="黑体" w:hint="eastAsia"/>
          <w:spacing w:val="8"/>
          <w:kern w:val="0"/>
          <w:sz w:val="32"/>
          <w:szCs w:val="32"/>
        </w:rPr>
        <w:t>主动公开政府信息情况</w:t>
      </w:r>
    </w:p>
    <w:tbl>
      <w:tblPr>
        <w:tblStyle w:val="style105"/>
        <w:tblW w:w="9820" w:type="dxa"/>
        <w:jc w:val="center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2455"/>
        <w:gridCol w:w="2455"/>
        <w:gridCol w:w="2455"/>
      </w:tblGrid>
      <w:tr>
        <w:trPr>
          <w:trHeight w:val="810" w:hRule="atLeast"/>
          <w:jc w:val="center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9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both"/>
              <w:rPr>
                <w:rFonts w:eastAsia="宋体"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83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9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rFonts w:eastAsia="宋体"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9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/>
        <w:trPr>
          <w:trHeight w:val="81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/>
        <w:trPr>
          <w:trHeight w:val="880" w:hRule="atLeast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eastAsia="宋体"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style90"/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tbl>
      <w:tblPr>
        <w:tblStyle w:val="style105"/>
        <w:tblpPr w:leftFromText="180" w:rightFromText="180" w:topFromText="0" w:bottomFromText="0" w:vertAnchor="text" w:horzAnchor="page" w:tblpX="1197" w:tblpY="566"/>
        <w:tblOverlap w:val="never"/>
        <w:tblW w:w="9780" w:type="dxa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6"/>
        <w:gridCol w:w="3231"/>
        <w:gridCol w:w="690"/>
        <w:gridCol w:w="690"/>
        <w:gridCol w:w="691"/>
        <w:gridCol w:w="689"/>
        <w:gridCol w:w="691"/>
        <w:gridCol w:w="691"/>
        <w:gridCol w:w="691"/>
      </w:tblGrid>
      <w:tr>
        <w:trPr>
          <w:trHeight w:val="350" w:hRule="atLeast"/>
        </w:trPr>
        <w:tc>
          <w:tcPr>
            <w:tcW w:w="49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楷体" w:cs="楷体" w:eastAsia="楷体" w:hAnsi="楷体"/>
                <w:kern w:val="0"/>
                <w:sz w:val="20"/>
                <w:szCs w:val="20"/>
                <w:highlight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申请人情况</w:t>
            </w:r>
          </w:p>
        </w:tc>
      </w:tr>
      <w:tr>
        <w:tblPrEx/>
        <w:trPr>
          <w:trHeight w:val="350" w:hRule="atLeast"/>
        </w:trPr>
        <w:tc>
          <w:tcPr>
            <w:tcW w:w="4947" w:type="dxa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自然人</w:t>
            </w:r>
          </w:p>
        </w:tc>
        <w:tc>
          <w:tcPr>
            <w:tcW w:w="3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/>
        <w:trPr>
          <w:trHeight w:val="971" w:hRule="atLeast"/>
        </w:trPr>
        <w:tc>
          <w:tcPr>
            <w:tcW w:w="4947" w:type="dxa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商业</w:t>
            </w:r>
          </w:p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科研</w:t>
            </w:r>
          </w:p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机构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社会公益组织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法律服务机构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</w:tr>
      <w:tr>
        <w:tblPrEx/>
        <w:trPr>
          <w:trHeight w:val="350" w:hRule="atLeast"/>
        </w:trPr>
        <w:tc>
          <w:tcPr>
            <w:tcW w:w="4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/>
        <w:trPr>
          <w:trHeight w:val="350" w:hRule="atLeast"/>
        </w:trPr>
        <w:tc>
          <w:tcPr>
            <w:tcW w:w="4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/>
        <w:trPr>
          <w:trHeight w:val="66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（二）部分公开</w:t>
            </w:r>
            <w:r>
              <w:rPr>
                <w:rFonts w:ascii="楷体" w:cs="楷体" w:eastAsia="楷体" w:hAnsi="楷体" w:hint="default"/>
                <w:kern w:val="0"/>
                <w:sz w:val="20"/>
                <w:szCs w:val="20"/>
                <w:highlight w:val="none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815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both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971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both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971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both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/>
        <w:trPr>
          <w:trHeight w:val="350" w:hRule="atLeast"/>
        </w:trPr>
        <w:tc>
          <w:tcPr>
            <w:tcW w:w="770" w:type="dxa"/>
            <w:vMerge w:val="continue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/>
        <w:trPr>
          <w:trHeight w:val="389" w:hRule="atLeast"/>
        </w:trPr>
        <w:tc>
          <w:tcPr>
            <w:tcW w:w="4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/>
              <w:jc w:val="left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style0"/>
        <w:widowControl/>
        <w:spacing w:lineRule="exact" w:line="560"/>
        <w:ind w:firstLine="672" w:firstLineChars="200"/>
        <w:jc w:val="left"/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</w:pPr>
      <w:r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  <w:t>三、收到和处理政府信息公开申请情况</w:t>
      </w:r>
    </w:p>
    <w:p>
      <w:pPr>
        <w:pStyle w:val="style0"/>
        <w:widowControl/>
        <w:spacing w:lineRule="exact" w:line="560"/>
        <w:ind w:firstLine="672" w:firstLineChars="200"/>
        <w:jc w:val="left"/>
        <w:rPr>
          <w:rFonts w:ascii="黑体" w:cs="宋体" w:eastAsia="黑体" w:hAnsi="黑体"/>
          <w:spacing w:val="8"/>
          <w:kern w:val="0"/>
          <w:sz w:val="32"/>
          <w:szCs w:val="32"/>
        </w:rPr>
      </w:pPr>
      <w:r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style105"/>
        <w:tblW w:w="9748" w:type="dxa"/>
        <w:jc w:val="center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行政诉讼</w:t>
            </w:r>
          </w:p>
        </w:tc>
      </w:tr>
      <w:tr>
        <w:tblPrEx/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复议后起诉</w:t>
            </w:r>
          </w:p>
        </w:tc>
      </w:tr>
      <w:tr>
        <w:tblPrEx/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/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style0"/>
        <w:widowControl/>
        <w:spacing w:lineRule="exact" w:line="560"/>
        <w:ind w:firstLine="672" w:firstLineChars="200"/>
        <w:jc w:val="left"/>
        <w:rPr>
          <w:rFonts w:ascii="黑体" w:cs="宋体" w:eastAsia="黑体" w:hAnsi="黑体"/>
          <w:spacing w:val="8"/>
          <w:kern w:val="0"/>
          <w:sz w:val="32"/>
          <w:szCs w:val="32"/>
        </w:rPr>
      </w:pPr>
      <w:r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  <w:t>五、政府信息公开工作存在的主要问题及改进情况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在公开工作中还存在：范围上不够宽、内容上不够全、时效上不够快等问题。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下一步将做好以下三项工作，一是加强公开工作的业务培训，加大主动公开领域的信息梳理，完善发布内容。二是严格落实信息公开逐级审核制度，确保发布的信息完整、准确、及时。三是关注重点领域信息，督促业务科室及时报送百姓关心、社会关注信息</w:t>
      </w:r>
      <w:bookmarkStart w:id="0" w:name="_GoBack"/>
      <w:bookmarkEnd w:id="0"/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。</w:t>
      </w:r>
    </w:p>
    <w:p>
      <w:pPr>
        <w:pStyle w:val="style0"/>
        <w:widowControl/>
        <w:spacing w:lineRule="exact" w:line="560"/>
        <w:ind w:firstLine="672" w:firstLineChars="200"/>
        <w:jc w:val="left"/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</w:pPr>
      <w:r>
        <w:rPr>
          <w:rFonts w:ascii="黑体" w:cs="宋体" w:eastAsia="黑体" w:hAnsi="黑体" w:hint="eastAsia"/>
          <w:spacing w:val="8"/>
          <w:kern w:val="0"/>
          <w:sz w:val="32"/>
          <w:szCs w:val="32"/>
          <w:lang w:eastAsia="zh-CN"/>
        </w:rPr>
        <w:t>六、其他需要报告的事项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依据《政府信息公开信息处理费管理办法》收取信息处理费。全年发出收费通知的件数和总金额以及实际收取的总金额均为0。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北京市东城区人民政府门户网站，网址为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fldChar w:fldCharType="begin"/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instrText xml:space="preserve"> HYPERLINK "http://www.bjdch.gov.cn/" </w:instrTex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fldChar w:fldCharType="separate"/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http://www.bjdch.gov.cn/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fldChar w:fldCharType="end"/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，如需了解更多政府信息，请登录查询。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eastAsia="zh-CN"/>
        </w:rPr>
        <w:t>无其他报告事项</w:t>
      </w: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。</w:t>
      </w:r>
    </w:p>
    <w:p>
      <w:pPr>
        <w:pStyle w:val="style90"/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</w:pPr>
    </w:p>
    <w:p>
      <w:pPr>
        <w:pStyle w:val="style90"/>
        <w:jc w:val="right"/>
        <w:rPr>
          <w:rFonts w:ascii="仿宋" w:cs="仿宋_GB2312" w:eastAsia="仿宋" w:hAnsi="仿宋" w:hint="eastAsia"/>
          <w:sz w:val="32"/>
          <w:szCs w:val="32"/>
        </w:rPr>
      </w:pPr>
      <w:r>
        <w:rPr>
          <w:rFonts w:ascii="仿宋_GB2312" w:cs="宋体" w:eastAsia="仿宋_GB2312" w:hAnsi="宋体" w:hint="eastAsia"/>
          <w:spacing w:val="8"/>
          <w:kern w:val="0"/>
          <w:sz w:val="32"/>
          <w:szCs w:val="32"/>
          <w:lang w:val="en-US" w:bidi="ar-SA" w:eastAsia="zh-CN"/>
        </w:rPr>
        <w:t>2024年1月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Times New Roman" w:cs="Times New Roman" w:eastAsia="宋体" w:hAnsi="Times New Roman"/>
        <w:kern w:val="2"/>
        <w:sz w:val="18"/>
        <w:szCs w:val="18"/>
        <w:lang w:val="en-US" w:bidi="ar-SA" w:eastAsia="zh-CN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5A5157A"/>
    <w:lvl w:ilvl="0">
      <w:start w:val="4"/>
      <w:numFmt w:val="chineseCounting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9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link w:val="style4097"/>
    <w:uiPriority w:val="1"/>
    <w:rPr>
      <w:rFonts w:ascii="Tahoma" w:hAnsi="Tahoma"/>
      <w:sz w:val="24"/>
      <w:szCs w:val="20"/>
    </w:rPr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/>
    <w:rPr>
      <w:rFonts w:ascii="宋体" w:hAnsi="Courier New"/>
    </w:rPr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/>
    </w:rPr>
  </w:style>
  <w:style w:type="paragraph" w:customStyle="1" w:styleId="style4097">
    <w:name w:val=" Char Char1"/>
    <w:basedOn w:val="style0"/>
    <w:next w:val="style4097"/>
    <w:link w:val="style65"/>
    <w:qFormat/>
    <w:uiPriority w:val="0"/>
    <w:pPr/>
    <w:rPr>
      <w:rFonts w:ascii="Tahoma" w:hAnsi="Tahoma"/>
      <w:sz w:val="24"/>
      <w:szCs w:val="20"/>
    </w:rPr>
  </w:style>
  <w:style w:type="character" w:styleId="style41">
    <w:name w:val="page number"/>
    <w:basedOn w:val="style65"/>
    <w:next w:val="style41"/>
    <w:qFormat/>
    <w:uiPriority w:val="99"/>
  </w:style>
  <w:style w:type="character" w:styleId="style85">
    <w:name w:val="Hyperlink"/>
    <w:basedOn w:val="style65"/>
    <w:next w:val="style85"/>
    <w:qFormat/>
    <w:uiPriority w:val="0"/>
    <w:rPr>
      <w:color w:val="000000"/>
      <w:u w:val="none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_Style 6"/>
    <w:basedOn w:val="style0"/>
    <w:next w:val="style4098"/>
    <w:qFormat/>
    <w:uiPriority w:val="0"/>
    <w:pPr/>
    <w:rPr>
      <w:szCs w:val="20"/>
    </w:rPr>
  </w:style>
  <w:style w:type="paragraph" w:customStyle="1" w:styleId="style4099">
    <w:name w:val="1"/>
    <w:basedOn w:val="style0"/>
    <w:next w:val="style4099"/>
    <w:qFormat/>
    <w:uiPriority w:val="0"/>
    <w:pPr/>
    <w:rPr>
      <w:rFonts w:ascii="Tahoma" w:hAnsi="Tahoma"/>
      <w:sz w:val="24"/>
      <w:szCs w:val="20"/>
    </w:rPr>
  </w:style>
  <w:style w:type="character" w:customStyle="1" w:styleId="style4100">
    <w:name w:val="页眉 Char"/>
    <w:basedOn w:val="style65"/>
    <w:next w:val="style4100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2">
    <w:name w:val="批注框文本 Char"/>
    <w:basedOn w:val="style65"/>
    <w:next w:val="style4102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2096</Words>
  <Pages>3</Pages>
  <Characters>2154</Characters>
  <Application>WPS Office</Application>
  <DocSecurity>0</DocSecurity>
  <Paragraphs>409</Paragraphs>
  <ScaleCrop>false</ScaleCrop>
  <Company>Lenovo</Company>
  <LinksUpToDate>false</LinksUpToDate>
  <CharactersWithSpaces>2170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2019-03-21T10:11:00Z</dcterms:created>
  <dc:creator>李曼</dc:creator>
  <lastModifiedBy>NOH-AL10</lastModifiedBy>
  <lastPrinted>2024-01-16T09:48:53Z</lastPrinted>
  <dcterms:modified xsi:type="dcterms:W3CDTF">2024-01-17T03:19:54Z</dcterms:modified>
  <dc:title>关于抓紧整改政务新媒体的通知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cb683f59650d470d85c01ab70b8481ce</vt:lpwstr>
  </property>
</Properties>
</file>