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eastAsia="方正小标宋简体"/>
          <w:sz w:val="44"/>
          <w:szCs w:val="44"/>
        </w:rPr>
      </w:pPr>
      <w:r>
        <w:rPr>
          <w:rFonts w:eastAsia="方正小标宋简体"/>
          <w:sz w:val="44"/>
          <w:szCs w:val="44"/>
        </w:rPr>
        <w:t>东城区人民防空办公室</w:t>
      </w:r>
    </w:p>
    <w:p>
      <w:pPr>
        <w:spacing w:line="540" w:lineRule="exact"/>
        <w:jc w:val="center"/>
        <w:rPr>
          <w:rFonts w:eastAsia="方正小标宋简体"/>
          <w:sz w:val="44"/>
          <w:szCs w:val="44"/>
        </w:rPr>
      </w:pPr>
      <w:r>
        <w:rPr>
          <w:rFonts w:eastAsia="方正小标宋简体"/>
          <w:sz w:val="44"/>
          <w:szCs w:val="44"/>
        </w:rPr>
        <w:t>2022年政府信息公开工作年度报告</w:t>
      </w:r>
    </w:p>
    <w:p>
      <w:pPr>
        <w:spacing w:line="560" w:lineRule="exact"/>
        <w:jc w:val="center"/>
        <w:rPr>
          <w:sz w:val="44"/>
          <w:szCs w:val="44"/>
        </w:rPr>
      </w:pPr>
    </w:p>
    <w:p>
      <w:pPr>
        <w:widowControl/>
        <w:spacing w:line="560" w:lineRule="exact"/>
        <w:jc w:val="left"/>
        <w:rPr>
          <w:rFonts w:eastAsia="仿宋_GB2312"/>
          <w:spacing w:val="8"/>
          <w:kern w:val="0"/>
          <w:sz w:val="32"/>
          <w:szCs w:val="32"/>
        </w:rPr>
      </w:pPr>
      <w:r>
        <w:rPr>
          <w:rFonts w:eastAsia="微软雅黑"/>
          <w:color w:val="404040"/>
          <w:kern w:val="0"/>
          <w:sz w:val="24"/>
        </w:rPr>
        <w:t>　</w:t>
      </w:r>
      <w:r>
        <w:rPr>
          <w:rFonts w:eastAsia="仿宋_GB2312"/>
          <w:spacing w:val="8"/>
          <w:kern w:val="0"/>
          <w:sz w:val="32"/>
          <w:szCs w:val="32"/>
        </w:rPr>
        <w:t>依据《中华人民共和国政府信息公开条例》</w:t>
      </w:r>
      <w:r>
        <w:rPr>
          <w:rFonts w:hint="eastAsia" w:eastAsia="仿宋_GB2312"/>
          <w:spacing w:val="8"/>
          <w:kern w:val="0"/>
          <w:sz w:val="32"/>
          <w:szCs w:val="32"/>
        </w:rPr>
        <w:t>（</w:t>
      </w:r>
      <w:r>
        <w:rPr>
          <w:rFonts w:eastAsia="仿宋_GB2312"/>
          <w:spacing w:val="8"/>
          <w:kern w:val="0"/>
          <w:sz w:val="32"/>
          <w:szCs w:val="32"/>
        </w:rPr>
        <w:t>以下简称《政府信息公开条例》</w:t>
      </w:r>
      <w:r>
        <w:rPr>
          <w:rFonts w:hint="eastAsia" w:eastAsia="仿宋_GB2312"/>
          <w:spacing w:val="8"/>
          <w:kern w:val="0"/>
          <w:sz w:val="32"/>
          <w:szCs w:val="32"/>
        </w:rPr>
        <w:t>）</w:t>
      </w:r>
      <w:r>
        <w:rPr>
          <w:rFonts w:eastAsia="仿宋_GB2312"/>
          <w:spacing w:val="8"/>
          <w:kern w:val="0"/>
          <w:sz w:val="32"/>
          <w:szCs w:val="32"/>
        </w:rPr>
        <w:t>第五十条规定，编制本报告。</w:t>
      </w:r>
    </w:p>
    <w:p>
      <w:pPr>
        <w:widowControl/>
        <w:numPr>
          <w:ilvl w:val="0"/>
          <w:numId w:val="1"/>
        </w:numPr>
        <w:spacing w:line="560" w:lineRule="exact"/>
        <w:ind w:firstLine="672" w:firstLineChars="200"/>
        <w:jc w:val="left"/>
        <w:rPr>
          <w:rFonts w:eastAsia="黑体"/>
          <w:spacing w:val="8"/>
          <w:kern w:val="0"/>
          <w:sz w:val="32"/>
          <w:szCs w:val="32"/>
        </w:rPr>
      </w:pPr>
      <w:r>
        <w:rPr>
          <w:rFonts w:eastAsia="黑体"/>
          <w:spacing w:val="8"/>
          <w:kern w:val="0"/>
          <w:sz w:val="32"/>
          <w:szCs w:val="32"/>
        </w:rPr>
        <w:t>总体情况</w:t>
      </w:r>
    </w:p>
    <w:p>
      <w:pPr>
        <w:pStyle w:val="2"/>
        <w:spacing w:line="560" w:lineRule="exact"/>
        <w:ind w:firstLine="672" w:firstLineChars="200"/>
        <w:rPr>
          <w:rFonts w:ascii="Times New Roman" w:hAnsi="Times New Roman" w:eastAsia="仿宋_GB2312"/>
          <w:spacing w:val="8"/>
          <w:kern w:val="0"/>
          <w:sz w:val="32"/>
          <w:szCs w:val="32"/>
        </w:rPr>
      </w:pPr>
      <w:r>
        <w:rPr>
          <w:rFonts w:ascii="Times New Roman" w:hAnsi="Times New Roman" w:eastAsia="仿宋_GB2312"/>
          <w:spacing w:val="8"/>
          <w:kern w:val="0"/>
          <w:sz w:val="32"/>
          <w:szCs w:val="32"/>
        </w:rPr>
        <w:t>2022年</w:t>
      </w:r>
      <w:r>
        <w:rPr>
          <w:rFonts w:hint="eastAsia" w:ascii="Times New Roman" w:hAnsi="Times New Roman" w:eastAsia="仿宋_GB2312"/>
          <w:spacing w:val="8"/>
          <w:kern w:val="0"/>
          <w:sz w:val="32"/>
          <w:szCs w:val="32"/>
        </w:rPr>
        <w:t>，</w:t>
      </w:r>
      <w:r>
        <w:rPr>
          <w:rFonts w:ascii="Times New Roman" w:hAnsi="Times New Roman" w:eastAsia="仿宋_GB2312"/>
          <w:spacing w:val="8"/>
          <w:kern w:val="0"/>
          <w:sz w:val="32"/>
          <w:szCs w:val="32"/>
        </w:rPr>
        <w:t>区人防</w:t>
      </w:r>
      <w:r>
        <w:rPr>
          <w:rFonts w:hint="eastAsia" w:ascii="Times New Roman" w:hAnsi="Times New Roman" w:eastAsia="仿宋_GB2312"/>
          <w:spacing w:val="8"/>
          <w:kern w:val="0"/>
          <w:sz w:val="32"/>
          <w:szCs w:val="32"/>
        </w:rPr>
        <w:t>办</w:t>
      </w:r>
      <w:r>
        <w:rPr>
          <w:rFonts w:ascii="Times New Roman" w:hAnsi="Times New Roman" w:eastAsia="仿宋_GB2312"/>
          <w:spacing w:val="8"/>
          <w:kern w:val="0"/>
          <w:sz w:val="32"/>
          <w:szCs w:val="32"/>
        </w:rPr>
        <w:t>以全面提升政务公开工作实效为目标，注重发挥以公开促落实、促规范、促服务的作用，全过程推进政务公开，全方位回应社会关切，全流程优化政务服务，全链条加强政务信息管理，全环节夯实工作基础，推动</w:t>
      </w:r>
      <w:r>
        <w:rPr>
          <w:rFonts w:hint="eastAsia" w:ascii="Times New Roman" w:hAnsi="Times New Roman" w:eastAsia="仿宋_GB2312"/>
          <w:spacing w:val="8"/>
          <w:kern w:val="0"/>
          <w:sz w:val="32"/>
          <w:szCs w:val="32"/>
        </w:rPr>
        <w:t>落实</w:t>
      </w:r>
      <w:r>
        <w:rPr>
          <w:rFonts w:ascii="Times New Roman" w:hAnsi="Times New Roman" w:eastAsia="仿宋_GB2312"/>
          <w:spacing w:val="8"/>
          <w:kern w:val="0"/>
          <w:sz w:val="32"/>
          <w:szCs w:val="32"/>
        </w:rPr>
        <w:t>政府信息公开各项工作。</w:t>
      </w:r>
    </w:p>
    <w:p>
      <w:pPr>
        <w:pStyle w:val="2"/>
        <w:spacing w:line="560" w:lineRule="exact"/>
        <w:ind w:firstLine="672" w:firstLineChars="200"/>
        <w:rPr>
          <w:rFonts w:ascii="Times New Roman" w:hAnsi="Times New Roman" w:eastAsia="仿宋_GB2312"/>
          <w:spacing w:val="8"/>
          <w:kern w:val="0"/>
          <w:sz w:val="32"/>
          <w:szCs w:val="32"/>
        </w:rPr>
      </w:pPr>
      <w:r>
        <w:rPr>
          <w:rFonts w:ascii="Times New Roman" w:hAnsi="Times New Roman" w:eastAsia="仿宋_GB2312"/>
          <w:spacing w:val="8"/>
          <w:kern w:val="0"/>
          <w:sz w:val="32"/>
          <w:szCs w:val="32"/>
        </w:rPr>
        <w:t>1.组织领导情况</w:t>
      </w:r>
    </w:p>
    <w:p>
      <w:pPr>
        <w:spacing w:line="560" w:lineRule="exact"/>
        <w:ind w:firstLine="672" w:firstLineChars="200"/>
        <w:rPr>
          <w:rFonts w:eastAsia="仿宋_GB2312"/>
          <w:spacing w:val="8"/>
          <w:kern w:val="0"/>
          <w:sz w:val="32"/>
          <w:szCs w:val="32"/>
        </w:rPr>
      </w:pPr>
      <w:r>
        <w:rPr>
          <w:rFonts w:eastAsia="仿宋_GB2312"/>
          <w:spacing w:val="8"/>
          <w:kern w:val="0"/>
          <w:sz w:val="32"/>
          <w:szCs w:val="32"/>
        </w:rPr>
        <w:t>在区委区政府的领导下，按照《北京市东城区2022年政务公开工作要点》和区委区政府相关文件要求，结合人防工作实际，由政务公开领导小组牵头，各科室、中心配合，更新了《</w:t>
      </w:r>
      <w:r>
        <w:fldChar w:fldCharType="begin"/>
      </w:r>
      <w:r>
        <w:instrText xml:space="preserve"> HYPERLINK "http://172.25.65.106/manageweb/menuIndex.action?menuName=cms&amp;startDn=/1/31/7367812/8858852/javascript:void(0)" \o "北京市东城区人民防空办公室政府信息公开指南 id:8914103" </w:instrText>
      </w:r>
      <w:r>
        <w:fldChar w:fldCharType="separate"/>
      </w:r>
      <w:r>
        <w:rPr>
          <w:rFonts w:eastAsia="仿宋_GB2312"/>
          <w:spacing w:val="8"/>
          <w:kern w:val="0"/>
          <w:sz w:val="32"/>
          <w:szCs w:val="32"/>
        </w:rPr>
        <w:t>东城区人民防空办公室政府信息公开指南</w:t>
      </w:r>
      <w:r>
        <w:rPr>
          <w:rFonts w:eastAsia="仿宋_GB2312"/>
          <w:spacing w:val="8"/>
          <w:kern w:val="0"/>
          <w:sz w:val="32"/>
          <w:szCs w:val="32"/>
        </w:rPr>
        <w:fldChar w:fldCharType="end"/>
      </w:r>
      <w:r>
        <w:rPr>
          <w:rFonts w:eastAsia="仿宋_GB2312"/>
          <w:spacing w:val="8"/>
          <w:kern w:val="0"/>
          <w:sz w:val="32"/>
          <w:szCs w:val="32"/>
        </w:rPr>
        <w:t>》《</w:t>
      </w:r>
      <w:r>
        <w:fldChar w:fldCharType="begin"/>
      </w:r>
      <w:r>
        <w:instrText xml:space="preserve"> HYPERLINK "http://172.25.65.106/manageweb/menuIndex.action?menuName=cms&amp;startDn=/1/31/7367812/8858852/javascript:void(0)" \o "东城区人民防空办公室政府信息主动公开全清单 id:12525993" </w:instrText>
      </w:r>
      <w:r>
        <w:fldChar w:fldCharType="separate"/>
      </w:r>
      <w:r>
        <w:rPr>
          <w:rFonts w:eastAsia="仿宋_GB2312"/>
          <w:spacing w:val="8"/>
          <w:kern w:val="0"/>
          <w:sz w:val="32"/>
          <w:szCs w:val="32"/>
        </w:rPr>
        <w:t>东城区人民防空办公室政府信息主动公开全清单</w:t>
      </w:r>
      <w:r>
        <w:rPr>
          <w:rFonts w:eastAsia="仿宋_GB2312"/>
          <w:spacing w:val="8"/>
          <w:kern w:val="0"/>
          <w:sz w:val="32"/>
          <w:szCs w:val="32"/>
        </w:rPr>
        <w:fldChar w:fldCharType="end"/>
      </w:r>
      <w:r>
        <w:rPr>
          <w:rFonts w:eastAsia="仿宋_GB2312"/>
          <w:spacing w:val="8"/>
          <w:kern w:val="0"/>
          <w:sz w:val="32"/>
          <w:szCs w:val="32"/>
        </w:rPr>
        <w:t>》，深刻认识新形势下政府信息公开工作的重要意义，落实《北京市东城区2022年政务公开工作要点》中涉及我办的任务</w:t>
      </w:r>
      <w:r>
        <w:rPr>
          <w:rFonts w:hint="eastAsia" w:eastAsia="仿宋_GB2312"/>
          <w:spacing w:val="8"/>
          <w:kern w:val="0"/>
          <w:sz w:val="32"/>
          <w:szCs w:val="32"/>
        </w:rPr>
        <w:t>：强化政策征集、咨询、集成、解读、公开、推送、兑现、沟通、评价等全流程服务，加强政务公开平台建设、</w:t>
      </w:r>
      <w:r>
        <w:rPr>
          <w:rFonts w:eastAsia="仿宋_GB2312"/>
          <w:spacing w:val="8"/>
          <w:kern w:val="0"/>
          <w:sz w:val="32"/>
          <w:szCs w:val="32"/>
        </w:rPr>
        <w:t>政府信息公开</w:t>
      </w:r>
      <w:r>
        <w:rPr>
          <w:rFonts w:hint="eastAsia" w:eastAsia="仿宋_GB2312"/>
          <w:spacing w:val="8"/>
          <w:kern w:val="0"/>
          <w:sz w:val="32"/>
          <w:szCs w:val="32"/>
        </w:rPr>
        <w:t>规范、政务公开能力建设等</w:t>
      </w:r>
      <w:r>
        <w:rPr>
          <w:rFonts w:eastAsia="仿宋_GB2312"/>
          <w:spacing w:val="8"/>
          <w:kern w:val="0"/>
          <w:sz w:val="32"/>
          <w:szCs w:val="32"/>
        </w:rPr>
        <w:t>。</w:t>
      </w:r>
    </w:p>
    <w:p>
      <w:pPr>
        <w:widowControl/>
        <w:spacing w:line="560" w:lineRule="exact"/>
        <w:ind w:firstLine="675"/>
        <w:jc w:val="left"/>
        <w:rPr>
          <w:rFonts w:eastAsia="仿宋_GB2312"/>
          <w:spacing w:val="8"/>
          <w:kern w:val="0"/>
          <w:sz w:val="32"/>
          <w:szCs w:val="32"/>
        </w:rPr>
      </w:pPr>
      <w:r>
        <w:rPr>
          <w:rFonts w:eastAsia="仿宋_GB2312"/>
          <w:spacing w:val="8"/>
          <w:kern w:val="0"/>
          <w:sz w:val="32"/>
          <w:szCs w:val="32"/>
        </w:rPr>
        <w:t>2.主动公开情况</w:t>
      </w:r>
    </w:p>
    <w:p>
      <w:pPr>
        <w:widowControl/>
        <w:spacing w:line="560" w:lineRule="exact"/>
        <w:ind w:firstLine="675"/>
        <w:rPr>
          <w:rFonts w:eastAsia="仿宋_GB2312"/>
          <w:spacing w:val="8"/>
          <w:kern w:val="0"/>
          <w:sz w:val="32"/>
          <w:szCs w:val="32"/>
        </w:rPr>
      </w:pPr>
      <w:r>
        <w:rPr>
          <w:rFonts w:eastAsia="仿宋_GB2312"/>
          <w:spacing w:val="8"/>
          <w:kern w:val="0"/>
          <w:sz w:val="32"/>
          <w:szCs w:val="32"/>
        </w:rPr>
        <w:t>坚持</w:t>
      </w:r>
      <w:r>
        <w:rPr>
          <w:rFonts w:hint="eastAsia" w:eastAsia="仿宋_GB2312"/>
          <w:spacing w:val="8"/>
          <w:kern w:val="0"/>
          <w:sz w:val="32"/>
          <w:szCs w:val="32"/>
        </w:rPr>
        <w:t>“</w:t>
      </w:r>
      <w:r>
        <w:rPr>
          <w:rFonts w:eastAsia="仿宋_GB2312"/>
          <w:spacing w:val="8"/>
          <w:kern w:val="0"/>
          <w:sz w:val="32"/>
          <w:szCs w:val="32"/>
        </w:rPr>
        <w:t>以公开为常态、不公开为例外</w:t>
      </w:r>
      <w:r>
        <w:rPr>
          <w:rFonts w:hint="eastAsia" w:eastAsia="仿宋_GB2312"/>
          <w:spacing w:val="8"/>
          <w:kern w:val="0"/>
          <w:sz w:val="32"/>
          <w:szCs w:val="32"/>
        </w:rPr>
        <w:t>”</w:t>
      </w:r>
      <w:r>
        <w:rPr>
          <w:rFonts w:eastAsia="仿宋_GB2312"/>
          <w:spacing w:val="8"/>
          <w:kern w:val="0"/>
          <w:sz w:val="32"/>
          <w:szCs w:val="32"/>
        </w:rPr>
        <w:t>原则，区人防办依法履行本单位政府信息公开义务，切实提高政府工作的透明度。截止2022年12月31日，区人防办主动公开政府信息897条，全文电子化率达到100%。在主动公开的信息中，双公示788条，占总体的比例为87.8%；业务动态类信息84条，占总体的比例为9.4%；其他信息，包括行政执法公示基本信息、安全生产与应急工作总结等内容25条，占总体的比例为2.8%。</w:t>
      </w:r>
    </w:p>
    <w:p>
      <w:pPr>
        <w:widowControl/>
        <w:spacing w:line="560" w:lineRule="exact"/>
        <w:ind w:firstLine="675"/>
        <w:jc w:val="left"/>
        <w:rPr>
          <w:rFonts w:eastAsia="仿宋_GB2312"/>
          <w:spacing w:val="8"/>
          <w:kern w:val="0"/>
          <w:sz w:val="32"/>
          <w:szCs w:val="32"/>
        </w:rPr>
      </w:pPr>
      <w:r>
        <w:rPr>
          <w:rFonts w:eastAsia="仿宋_GB2312"/>
          <w:spacing w:val="8"/>
          <w:kern w:val="0"/>
          <w:sz w:val="32"/>
          <w:szCs w:val="32"/>
        </w:rPr>
        <w:t>3.依申请公开办理情况</w:t>
      </w:r>
    </w:p>
    <w:p>
      <w:pPr>
        <w:widowControl/>
        <w:spacing w:line="560" w:lineRule="exact"/>
        <w:ind w:firstLine="675"/>
        <w:rPr>
          <w:rFonts w:eastAsia="仿宋_GB2312"/>
          <w:spacing w:val="8"/>
          <w:kern w:val="0"/>
          <w:sz w:val="32"/>
          <w:szCs w:val="32"/>
        </w:rPr>
      </w:pPr>
      <w:r>
        <w:rPr>
          <w:rFonts w:eastAsia="仿宋_GB2312"/>
          <w:spacing w:val="8"/>
          <w:kern w:val="0"/>
          <w:sz w:val="32"/>
          <w:szCs w:val="32"/>
        </w:rPr>
        <w:t>我办不断拓宽公开渠道，</w:t>
      </w:r>
      <w:r>
        <w:rPr>
          <w:rFonts w:hint="eastAsia" w:eastAsia="仿宋_GB2312"/>
          <w:spacing w:val="8"/>
          <w:kern w:val="0"/>
          <w:sz w:val="32"/>
          <w:szCs w:val="32"/>
        </w:rPr>
        <w:t>加大</w:t>
      </w:r>
      <w:r>
        <w:rPr>
          <w:rFonts w:eastAsia="仿宋_GB2312"/>
          <w:spacing w:val="8"/>
          <w:kern w:val="0"/>
          <w:sz w:val="32"/>
          <w:szCs w:val="32"/>
        </w:rPr>
        <w:t>公开力度，优化办理流程，强化协调意识</w:t>
      </w:r>
      <w:r>
        <w:rPr>
          <w:rFonts w:hint="eastAsia" w:eastAsia="仿宋_GB2312"/>
          <w:spacing w:val="8"/>
          <w:kern w:val="0"/>
          <w:sz w:val="32"/>
          <w:szCs w:val="32"/>
        </w:rPr>
        <w:t>，</w:t>
      </w:r>
      <w:r>
        <w:rPr>
          <w:rFonts w:eastAsia="仿宋_GB2312"/>
          <w:spacing w:val="8"/>
          <w:kern w:val="0"/>
          <w:sz w:val="32"/>
          <w:szCs w:val="32"/>
        </w:rPr>
        <w:t>优质高效做好依申请公开工作。2022年度收到政府信息公开申请件1件，因申请内容涉及国家秘密，不予公开。</w:t>
      </w:r>
    </w:p>
    <w:p>
      <w:pPr>
        <w:widowControl/>
        <w:numPr>
          <w:ilvl w:val="0"/>
          <w:numId w:val="2"/>
        </w:numPr>
        <w:spacing w:line="560" w:lineRule="exact"/>
        <w:ind w:firstLine="675"/>
        <w:jc w:val="left"/>
        <w:rPr>
          <w:rFonts w:eastAsia="仿宋_GB2312"/>
          <w:spacing w:val="8"/>
          <w:kern w:val="0"/>
          <w:sz w:val="32"/>
          <w:szCs w:val="32"/>
        </w:rPr>
      </w:pPr>
      <w:r>
        <w:rPr>
          <w:rFonts w:eastAsia="仿宋_GB2312"/>
          <w:spacing w:val="8"/>
          <w:kern w:val="0"/>
          <w:sz w:val="32"/>
          <w:szCs w:val="32"/>
        </w:rPr>
        <w:t>政府信息管理情况</w:t>
      </w:r>
    </w:p>
    <w:p>
      <w:pPr>
        <w:pStyle w:val="2"/>
        <w:spacing w:line="560" w:lineRule="exact"/>
        <w:ind w:firstLine="672" w:firstLineChars="200"/>
        <w:rPr>
          <w:rFonts w:ascii="Times New Roman" w:hAnsi="Times New Roman" w:eastAsia="仿宋_GB2312"/>
          <w:spacing w:val="8"/>
          <w:kern w:val="0"/>
          <w:sz w:val="32"/>
          <w:szCs w:val="32"/>
        </w:rPr>
      </w:pPr>
      <w:r>
        <w:rPr>
          <w:rFonts w:ascii="Times New Roman" w:hAnsi="Times New Roman" w:eastAsia="仿宋_GB2312"/>
          <w:spacing w:val="8"/>
          <w:kern w:val="0"/>
          <w:sz w:val="32"/>
          <w:szCs w:val="32"/>
        </w:rPr>
        <w:t>我办高度重视政府信息管理工作，规范网站信息采集、审核、发布工作流程，确保发布信息权威性、及时性、准确性和安全性，严格执行东城区互联网信息发布审批制度。</w:t>
      </w:r>
    </w:p>
    <w:p>
      <w:pPr>
        <w:widowControl/>
        <w:numPr>
          <w:ilvl w:val="0"/>
          <w:numId w:val="2"/>
        </w:numPr>
        <w:spacing w:line="560" w:lineRule="exact"/>
        <w:ind w:firstLine="675"/>
        <w:jc w:val="left"/>
        <w:rPr>
          <w:rFonts w:eastAsia="仿宋_GB2312"/>
          <w:spacing w:val="8"/>
          <w:kern w:val="0"/>
          <w:sz w:val="32"/>
          <w:szCs w:val="32"/>
        </w:rPr>
      </w:pPr>
      <w:r>
        <w:rPr>
          <w:rFonts w:eastAsia="仿宋_GB2312"/>
          <w:spacing w:val="8"/>
          <w:kern w:val="0"/>
          <w:sz w:val="32"/>
          <w:szCs w:val="32"/>
        </w:rPr>
        <w:t>政府信息公开平台建设情况</w:t>
      </w:r>
    </w:p>
    <w:p>
      <w:pPr>
        <w:widowControl/>
        <w:spacing w:line="560" w:lineRule="exact"/>
        <w:ind w:firstLine="672" w:firstLineChars="200"/>
        <w:jc w:val="left"/>
        <w:rPr>
          <w:rFonts w:eastAsia="仿宋_GB2312"/>
          <w:spacing w:val="8"/>
          <w:kern w:val="0"/>
          <w:sz w:val="32"/>
          <w:szCs w:val="32"/>
        </w:rPr>
      </w:pPr>
      <w:r>
        <w:rPr>
          <w:rFonts w:eastAsia="仿宋_GB2312"/>
          <w:spacing w:val="8"/>
          <w:kern w:val="0"/>
          <w:sz w:val="32"/>
          <w:szCs w:val="32"/>
        </w:rPr>
        <w:t>进一步加强政府网站的建设和管理，把政府网站建设成为信息化条件下政府密切联系人民群众的重要桥梁，成为公开信息、回应关切和提供服务的重要载体</w:t>
      </w:r>
      <w:r>
        <w:rPr>
          <w:rFonts w:hint="eastAsia" w:eastAsia="仿宋_GB2312"/>
          <w:spacing w:val="8"/>
          <w:kern w:val="0"/>
          <w:sz w:val="32"/>
          <w:szCs w:val="32"/>
        </w:rPr>
        <w:t>，</w:t>
      </w:r>
      <w:r>
        <w:rPr>
          <w:rFonts w:eastAsia="仿宋_GB2312"/>
          <w:spacing w:val="8"/>
          <w:kern w:val="0"/>
          <w:sz w:val="32"/>
          <w:szCs w:val="32"/>
        </w:rPr>
        <w:t>安排专人负责政务公开、政府信息公开、政府网站、政务新媒体、政府公报工作，采取巡查、普查等方式，对人防办政府信息公开平台建设进行全覆盖。</w:t>
      </w:r>
    </w:p>
    <w:p>
      <w:pPr>
        <w:widowControl/>
        <w:spacing w:line="560" w:lineRule="exact"/>
        <w:ind w:firstLine="675"/>
        <w:jc w:val="left"/>
        <w:rPr>
          <w:rFonts w:eastAsia="仿宋_GB2312"/>
          <w:spacing w:val="8"/>
          <w:kern w:val="0"/>
          <w:sz w:val="32"/>
          <w:szCs w:val="32"/>
        </w:rPr>
      </w:pPr>
      <w:r>
        <w:rPr>
          <w:rFonts w:eastAsia="仿宋_GB2312"/>
          <w:spacing w:val="8"/>
          <w:kern w:val="0"/>
          <w:sz w:val="32"/>
          <w:szCs w:val="32"/>
        </w:rPr>
        <w:t>6.教育培训及监督保障情况</w:t>
      </w:r>
    </w:p>
    <w:p>
      <w:pPr>
        <w:pStyle w:val="2"/>
        <w:spacing w:line="560" w:lineRule="exact"/>
        <w:ind w:firstLine="672" w:firstLineChars="200"/>
        <w:rPr>
          <w:rFonts w:ascii="Times New Roman" w:hAnsi="Times New Roman" w:eastAsia="仿宋_GB2312"/>
          <w:spacing w:val="8"/>
          <w:kern w:val="0"/>
          <w:sz w:val="32"/>
          <w:szCs w:val="32"/>
        </w:rPr>
      </w:pPr>
      <w:r>
        <w:rPr>
          <w:rFonts w:ascii="Times New Roman" w:hAnsi="Times New Roman" w:eastAsia="仿宋_GB2312"/>
          <w:spacing w:val="8"/>
          <w:kern w:val="0"/>
          <w:sz w:val="32"/>
          <w:szCs w:val="32"/>
        </w:rPr>
        <w:t>教育培训方面，我办将《</w:t>
      </w:r>
      <w:r>
        <w:rPr>
          <w:rFonts w:hint="eastAsia" w:ascii="Times New Roman" w:hAnsi="Times New Roman" w:eastAsia="仿宋_GB2312"/>
          <w:kern w:val="0"/>
          <w:sz w:val="32"/>
          <w:szCs w:val="32"/>
        </w:rPr>
        <w:t>中华人民共和国政府信息公开条例</w:t>
      </w:r>
      <w:bookmarkStart w:id="0" w:name="_GoBack"/>
      <w:bookmarkEnd w:id="0"/>
      <w:r>
        <w:rPr>
          <w:rFonts w:ascii="Times New Roman" w:hAnsi="Times New Roman" w:eastAsia="仿宋_GB2312"/>
          <w:kern w:val="0"/>
          <w:sz w:val="32"/>
          <w:szCs w:val="32"/>
        </w:rPr>
        <w:t>》</w:t>
      </w:r>
      <w:r>
        <w:rPr>
          <w:rFonts w:ascii="Times New Roman" w:hAnsi="Times New Roman" w:eastAsia="仿宋_GB2312"/>
          <w:spacing w:val="8"/>
          <w:kern w:val="0"/>
          <w:sz w:val="32"/>
          <w:szCs w:val="32"/>
        </w:rPr>
        <w:t>《国务院办公厅转发司法部关于审理政府信息公开行政复议案件若干问题指导意见的通知》等内容，作为政府信息公开工作分管领导和具体工作人员的必修课，通过会前学法的形式，不断提高自身业务能力和工作水平。</w:t>
      </w:r>
    </w:p>
    <w:p>
      <w:pPr>
        <w:pStyle w:val="2"/>
        <w:spacing w:line="560" w:lineRule="exact"/>
        <w:ind w:firstLine="672" w:firstLineChars="200"/>
        <w:rPr>
          <w:rFonts w:ascii="Times New Roman" w:hAnsi="Times New Roman" w:eastAsia="仿宋_GB2312"/>
          <w:spacing w:val="8"/>
          <w:kern w:val="0"/>
          <w:sz w:val="32"/>
          <w:szCs w:val="32"/>
        </w:rPr>
      </w:pPr>
      <w:r>
        <w:rPr>
          <w:rFonts w:ascii="Times New Roman" w:hAnsi="Times New Roman" w:eastAsia="仿宋_GB2312"/>
          <w:spacing w:val="8"/>
          <w:kern w:val="0"/>
          <w:sz w:val="32"/>
          <w:szCs w:val="32"/>
        </w:rPr>
        <w:t>监督保障方面，</w:t>
      </w:r>
      <w:r>
        <w:rPr>
          <w:rFonts w:hint="eastAsia" w:ascii="Times New Roman" w:hAnsi="Times New Roman" w:eastAsia="仿宋_GB2312"/>
          <w:spacing w:val="8"/>
          <w:kern w:val="0"/>
          <w:sz w:val="32"/>
          <w:szCs w:val="32"/>
        </w:rPr>
        <w:t>我办</w:t>
      </w:r>
      <w:r>
        <w:rPr>
          <w:rFonts w:ascii="Times New Roman" w:hAnsi="Times New Roman" w:eastAsia="仿宋_GB2312"/>
          <w:spacing w:val="8"/>
          <w:kern w:val="0"/>
          <w:sz w:val="32"/>
          <w:szCs w:val="32"/>
        </w:rPr>
        <w:t>强化自我监督、自觉接受监督</w:t>
      </w:r>
      <w:r>
        <w:rPr>
          <w:rFonts w:hint="eastAsia" w:ascii="Times New Roman" w:hAnsi="Times New Roman" w:eastAsia="仿宋_GB2312"/>
          <w:spacing w:val="8"/>
          <w:kern w:val="0"/>
          <w:sz w:val="32"/>
          <w:szCs w:val="32"/>
        </w:rPr>
        <w:t>，</w:t>
      </w:r>
      <w:r>
        <w:rPr>
          <w:rFonts w:ascii="Times New Roman" w:hAnsi="Times New Roman" w:eastAsia="仿宋_GB2312"/>
          <w:spacing w:val="8"/>
          <w:kern w:val="0"/>
          <w:sz w:val="32"/>
          <w:szCs w:val="32"/>
        </w:rPr>
        <w:t>针对</w:t>
      </w:r>
      <w:r>
        <w:rPr>
          <w:rFonts w:hint="eastAsia" w:ascii="Times New Roman" w:hAnsi="Times New Roman" w:eastAsia="仿宋_GB2312"/>
          <w:spacing w:val="8"/>
          <w:kern w:val="0"/>
          <w:sz w:val="32"/>
          <w:szCs w:val="32"/>
        </w:rPr>
        <w:t>群众</w:t>
      </w:r>
      <w:r>
        <w:rPr>
          <w:rFonts w:ascii="Times New Roman" w:hAnsi="Times New Roman" w:eastAsia="仿宋_GB2312"/>
          <w:spacing w:val="8"/>
          <w:kern w:val="0"/>
          <w:sz w:val="32"/>
          <w:szCs w:val="32"/>
        </w:rPr>
        <w:t>提出的意见建议，高度重视、认真对待</w:t>
      </w:r>
      <w:r>
        <w:rPr>
          <w:rFonts w:hint="eastAsia" w:ascii="Times New Roman" w:hAnsi="Times New Roman" w:eastAsia="仿宋_GB2312"/>
          <w:spacing w:val="8"/>
          <w:kern w:val="0"/>
          <w:sz w:val="32"/>
          <w:szCs w:val="32"/>
        </w:rPr>
        <w:t>、</w:t>
      </w:r>
      <w:r>
        <w:rPr>
          <w:rFonts w:ascii="Times New Roman" w:hAnsi="Times New Roman" w:eastAsia="仿宋_GB2312"/>
          <w:spacing w:val="8"/>
          <w:kern w:val="0"/>
          <w:sz w:val="32"/>
          <w:szCs w:val="32"/>
        </w:rPr>
        <w:t>明确责任</w:t>
      </w:r>
      <w:r>
        <w:rPr>
          <w:rFonts w:hint="eastAsia" w:ascii="Times New Roman" w:hAnsi="Times New Roman" w:eastAsia="仿宋_GB2312"/>
          <w:spacing w:val="8"/>
          <w:kern w:val="0"/>
          <w:sz w:val="32"/>
          <w:szCs w:val="32"/>
        </w:rPr>
        <w:t>、</w:t>
      </w:r>
      <w:r>
        <w:rPr>
          <w:rFonts w:ascii="Times New Roman" w:hAnsi="Times New Roman" w:eastAsia="仿宋_GB2312"/>
          <w:spacing w:val="8"/>
          <w:kern w:val="0"/>
          <w:sz w:val="32"/>
          <w:szCs w:val="32"/>
        </w:rPr>
        <w:t>咨询律师</w:t>
      </w:r>
      <w:r>
        <w:rPr>
          <w:rFonts w:hint="eastAsia" w:ascii="Times New Roman" w:hAnsi="Times New Roman" w:eastAsia="仿宋_GB2312"/>
          <w:spacing w:val="8"/>
          <w:kern w:val="0"/>
          <w:sz w:val="32"/>
          <w:szCs w:val="32"/>
        </w:rPr>
        <w:t>、及时整改，健全政府信息公开长效机制</w:t>
      </w:r>
      <w:r>
        <w:rPr>
          <w:rFonts w:ascii="Times New Roman" w:hAnsi="Times New Roman" w:eastAsia="仿宋_GB2312"/>
          <w:spacing w:val="8"/>
          <w:kern w:val="0"/>
          <w:sz w:val="32"/>
          <w:szCs w:val="32"/>
        </w:rPr>
        <w:t>。</w:t>
      </w:r>
    </w:p>
    <w:p>
      <w:pPr>
        <w:pStyle w:val="2"/>
        <w:spacing w:line="560" w:lineRule="exact"/>
        <w:ind w:firstLine="672" w:firstLineChars="200"/>
        <w:rPr>
          <w:rFonts w:ascii="Times New Roman" w:hAnsi="Times New Roman" w:eastAsia="黑体"/>
          <w:spacing w:val="8"/>
          <w:kern w:val="0"/>
          <w:sz w:val="32"/>
          <w:szCs w:val="32"/>
        </w:rPr>
      </w:pPr>
      <w:r>
        <w:rPr>
          <w:rFonts w:ascii="Times New Roman" w:hAnsi="Times New Roman" w:eastAsia="黑体"/>
          <w:spacing w:val="8"/>
          <w:kern w:val="0"/>
          <w:sz w:val="32"/>
          <w:szCs w:val="32"/>
        </w:rPr>
        <w:t>二、主动公开政府信息情况</w:t>
      </w:r>
    </w:p>
    <w:tbl>
      <w:tblPr>
        <w:tblStyle w:val="7"/>
        <w:tblW w:w="8706" w:type="dxa"/>
        <w:jc w:val="center"/>
        <w:tblLayout w:type="fixed"/>
        <w:tblCellMar>
          <w:top w:w="0" w:type="dxa"/>
          <w:left w:w="0" w:type="dxa"/>
          <w:bottom w:w="0" w:type="dxa"/>
          <w:right w:w="0" w:type="dxa"/>
        </w:tblCellMar>
      </w:tblPr>
      <w:tblGrid>
        <w:gridCol w:w="2176"/>
        <w:gridCol w:w="2176"/>
        <w:gridCol w:w="2176"/>
        <w:gridCol w:w="2178"/>
      </w:tblGrid>
      <w:tr>
        <w:tblPrEx>
          <w:tblCellMar>
            <w:top w:w="0" w:type="dxa"/>
            <w:left w:w="0" w:type="dxa"/>
            <w:bottom w:w="0" w:type="dxa"/>
            <w:right w:w="0" w:type="dxa"/>
          </w:tblCellMar>
        </w:tblPrEx>
        <w:trPr>
          <w:trHeight w:val="343" w:hRule="atLeast"/>
          <w:jc w:val="center"/>
        </w:trPr>
        <w:tc>
          <w:tcPr>
            <w:tcW w:w="8705"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rPr>
                <w:color w:val="000000"/>
                <w:kern w:val="0"/>
                <w:sz w:val="20"/>
                <w:szCs w:val="20"/>
              </w:rPr>
            </w:pPr>
            <w:r>
              <w:rPr>
                <w:color w:val="000000"/>
                <w:kern w:val="0"/>
                <w:sz w:val="20"/>
                <w:szCs w:val="20"/>
              </w:rPr>
              <w:t>第二十条第（一）项</w:t>
            </w:r>
          </w:p>
        </w:tc>
      </w:tr>
      <w:tr>
        <w:tblPrEx>
          <w:tblCellMar>
            <w:top w:w="0" w:type="dxa"/>
            <w:left w:w="0" w:type="dxa"/>
            <w:bottom w:w="0" w:type="dxa"/>
            <w:right w:w="0" w:type="dxa"/>
          </w:tblCellMar>
        </w:tblPrEx>
        <w:trPr>
          <w:trHeight w:val="343" w:hRule="atLeast"/>
          <w:jc w:val="center"/>
        </w:trPr>
        <w:tc>
          <w:tcPr>
            <w:tcW w:w="2176"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color w:val="000000"/>
                <w:kern w:val="0"/>
                <w:sz w:val="20"/>
                <w:szCs w:val="20"/>
              </w:rPr>
              <w:t>信息内容</w:t>
            </w:r>
          </w:p>
        </w:tc>
        <w:tc>
          <w:tcPr>
            <w:tcW w:w="2176"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rPr>
                <w:color w:val="000000"/>
                <w:kern w:val="0"/>
                <w:sz w:val="20"/>
                <w:szCs w:val="20"/>
              </w:rPr>
            </w:pPr>
            <w:r>
              <w:rPr>
                <w:color w:val="000000"/>
                <w:kern w:val="0"/>
                <w:sz w:val="20"/>
                <w:szCs w:val="20"/>
              </w:rPr>
              <w:t>本年制发件数</w:t>
            </w:r>
          </w:p>
        </w:tc>
        <w:tc>
          <w:tcPr>
            <w:tcW w:w="2176"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color w:val="000000"/>
                <w:kern w:val="0"/>
                <w:sz w:val="20"/>
                <w:szCs w:val="20"/>
              </w:rPr>
              <w:t>本年废止件数</w:t>
            </w:r>
          </w:p>
        </w:tc>
        <w:tc>
          <w:tcPr>
            <w:tcW w:w="2178"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color w:val="000000"/>
                <w:kern w:val="0"/>
                <w:sz w:val="20"/>
                <w:szCs w:val="20"/>
              </w:rPr>
              <w:t>现行有效件</w:t>
            </w:r>
            <w:r>
              <w:rPr>
                <w:kern w:val="0"/>
                <w:sz w:val="20"/>
                <w:szCs w:val="20"/>
              </w:rPr>
              <w:t>数</w:t>
            </w:r>
          </w:p>
        </w:tc>
      </w:tr>
      <w:tr>
        <w:tblPrEx>
          <w:tblCellMar>
            <w:top w:w="0" w:type="dxa"/>
            <w:left w:w="0" w:type="dxa"/>
            <w:bottom w:w="0" w:type="dxa"/>
            <w:right w:w="0" w:type="dxa"/>
          </w:tblCellMar>
        </w:tblPrEx>
        <w:trPr>
          <w:trHeight w:val="343" w:hRule="atLeast"/>
          <w:jc w:val="center"/>
        </w:trPr>
        <w:tc>
          <w:tcPr>
            <w:tcW w:w="2176"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color w:val="000000"/>
                <w:kern w:val="0"/>
                <w:sz w:val="20"/>
                <w:szCs w:val="20"/>
              </w:rPr>
              <w:t>规章</w:t>
            </w:r>
          </w:p>
        </w:tc>
        <w:tc>
          <w:tcPr>
            <w:tcW w:w="2176" w:type="dxa"/>
            <w:tcBorders>
              <w:top w:val="nil"/>
              <w:left w:val="nil"/>
              <w:bottom w:val="single" w:color="auto" w:sz="8" w:space="0"/>
              <w:right w:val="single" w:color="auto" w:sz="8" w:space="0"/>
            </w:tcBorders>
            <w:tcMar>
              <w:left w:w="57" w:type="dxa"/>
              <w:right w:w="57" w:type="dxa"/>
            </w:tcMar>
            <w:vAlign w:val="center"/>
          </w:tcPr>
          <w:p>
            <w:pPr>
              <w:widowControl/>
              <w:jc w:val="center"/>
              <w:rPr>
                <w:kern w:val="0"/>
              </w:rPr>
            </w:pPr>
            <w:r>
              <w:rPr>
                <w:kern w:val="0"/>
              </w:rPr>
              <w:t>0</w:t>
            </w:r>
          </w:p>
        </w:tc>
        <w:tc>
          <w:tcPr>
            <w:tcW w:w="2176" w:type="dxa"/>
            <w:tcBorders>
              <w:top w:val="nil"/>
              <w:left w:val="nil"/>
              <w:bottom w:val="single" w:color="auto" w:sz="8" w:space="0"/>
              <w:right w:val="single" w:color="auto" w:sz="8" w:space="0"/>
            </w:tcBorders>
            <w:tcMar>
              <w:left w:w="57" w:type="dxa"/>
              <w:right w:w="57" w:type="dxa"/>
            </w:tcMar>
            <w:vAlign w:val="center"/>
          </w:tcPr>
          <w:p>
            <w:pPr>
              <w:widowControl/>
              <w:jc w:val="center"/>
              <w:rPr>
                <w:kern w:val="0"/>
              </w:rPr>
            </w:pPr>
            <w:r>
              <w:rPr>
                <w:kern w:val="0"/>
              </w:rPr>
              <w:t>0</w:t>
            </w:r>
          </w:p>
        </w:tc>
        <w:tc>
          <w:tcPr>
            <w:tcW w:w="217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rPr>
              <w:t>0</w:t>
            </w:r>
          </w:p>
        </w:tc>
      </w:tr>
      <w:tr>
        <w:tblPrEx>
          <w:tblCellMar>
            <w:top w:w="0" w:type="dxa"/>
            <w:left w:w="0" w:type="dxa"/>
            <w:bottom w:w="0" w:type="dxa"/>
            <w:right w:w="0" w:type="dxa"/>
          </w:tblCellMar>
        </w:tblPrEx>
        <w:trPr>
          <w:trHeight w:val="343" w:hRule="atLeast"/>
          <w:jc w:val="center"/>
        </w:trPr>
        <w:tc>
          <w:tcPr>
            <w:tcW w:w="2176"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color w:val="000000"/>
                <w:kern w:val="0"/>
                <w:sz w:val="20"/>
                <w:szCs w:val="20"/>
              </w:rPr>
              <w:t>行政规范性文件</w:t>
            </w:r>
          </w:p>
        </w:tc>
        <w:tc>
          <w:tcPr>
            <w:tcW w:w="2176" w:type="dxa"/>
            <w:tcBorders>
              <w:top w:val="nil"/>
              <w:left w:val="nil"/>
              <w:bottom w:val="single" w:color="auto" w:sz="8" w:space="0"/>
              <w:right w:val="single" w:color="auto" w:sz="8" w:space="0"/>
            </w:tcBorders>
            <w:tcMar>
              <w:left w:w="57" w:type="dxa"/>
              <w:right w:w="57" w:type="dxa"/>
            </w:tcMar>
            <w:vAlign w:val="center"/>
          </w:tcPr>
          <w:p>
            <w:pPr>
              <w:widowControl/>
              <w:jc w:val="center"/>
              <w:rPr>
                <w:kern w:val="0"/>
              </w:rPr>
            </w:pPr>
            <w:r>
              <w:rPr>
                <w:kern w:val="0"/>
              </w:rPr>
              <w:t>0</w:t>
            </w:r>
          </w:p>
        </w:tc>
        <w:tc>
          <w:tcPr>
            <w:tcW w:w="2176" w:type="dxa"/>
            <w:tcBorders>
              <w:top w:val="nil"/>
              <w:left w:val="nil"/>
              <w:bottom w:val="single" w:color="auto" w:sz="8" w:space="0"/>
              <w:right w:val="single" w:color="auto" w:sz="8" w:space="0"/>
            </w:tcBorders>
            <w:tcMar>
              <w:left w:w="57" w:type="dxa"/>
              <w:right w:w="57" w:type="dxa"/>
            </w:tcMar>
            <w:vAlign w:val="center"/>
          </w:tcPr>
          <w:p>
            <w:pPr>
              <w:widowControl/>
              <w:jc w:val="center"/>
              <w:rPr>
                <w:kern w:val="0"/>
              </w:rPr>
            </w:pPr>
            <w:r>
              <w:rPr>
                <w:kern w:val="0"/>
              </w:rPr>
              <w:t>0</w:t>
            </w:r>
          </w:p>
        </w:tc>
        <w:tc>
          <w:tcPr>
            <w:tcW w:w="217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rPr>
              <w:t>0</w:t>
            </w:r>
          </w:p>
        </w:tc>
      </w:tr>
      <w:tr>
        <w:tblPrEx>
          <w:tblCellMar>
            <w:top w:w="0" w:type="dxa"/>
            <w:left w:w="0" w:type="dxa"/>
            <w:bottom w:w="0" w:type="dxa"/>
            <w:right w:w="0" w:type="dxa"/>
          </w:tblCellMar>
        </w:tblPrEx>
        <w:trPr>
          <w:trHeight w:val="343" w:hRule="atLeast"/>
          <w:jc w:val="center"/>
        </w:trPr>
        <w:tc>
          <w:tcPr>
            <w:tcW w:w="8705"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color w:val="000000"/>
                <w:kern w:val="0"/>
                <w:sz w:val="20"/>
                <w:szCs w:val="20"/>
              </w:rPr>
              <w:t>第二十条第（五）项</w:t>
            </w:r>
          </w:p>
        </w:tc>
      </w:tr>
      <w:tr>
        <w:tblPrEx>
          <w:tblCellMar>
            <w:top w:w="0" w:type="dxa"/>
            <w:left w:w="0" w:type="dxa"/>
            <w:bottom w:w="0" w:type="dxa"/>
            <w:right w:w="0" w:type="dxa"/>
          </w:tblCellMar>
        </w:tblPrEx>
        <w:trPr>
          <w:trHeight w:val="343" w:hRule="atLeast"/>
          <w:jc w:val="center"/>
        </w:trPr>
        <w:tc>
          <w:tcPr>
            <w:tcW w:w="2176"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color w:val="000000"/>
                <w:kern w:val="0"/>
                <w:sz w:val="20"/>
                <w:szCs w:val="20"/>
              </w:rPr>
              <w:t>信息内容</w:t>
            </w:r>
          </w:p>
        </w:tc>
        <w:tc>
          <w:tcPr>
            <w:tcW w:w="6529"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color w:val="000000"/>
                <w:kern w:val="0"/>
                <w:sz w:val="20"/>
                <w:szCs w:val="20"/>
              </w:rPr>
              <w:t>本年处理决定数量</w:t>
            </w:r>
          </w:p>
        </w:tc>
      </w:tr>
      <w:tr>
        <w:tblPrEx>
          <w:tblCellMar>
            <w:top w:w="0" w:type="dxa"/>
            <w:left w:w="0" w:type="dxa"/>
            <w:bottom w:w="0" w:type="dxa"/>
            <w:right w:w="0" w:type="dxa"/>
          </w:tblCellMar>
        </w:tblPrEx>
        <w:trPr>
          <w:trHeight w:val="343" w:hRule="atLeast"/>
          <w:jc w:val="center"/>
        </w:trPr>
        <w:tc>
          <w:tcPr>
            <w:tcW w:w="2176"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color w:val="000000"/>
                <w:kern w:val="0"/>
                <w:sz w:val="20"/>
                <w:szCs w:val="20"/>
              </w:rPr>
              <w:t>行政许可</w:t>
            </w:r>
          </w:p>
        </w:tc>
        <w:tc>
          <w:tcPr>
            <w:tcW w:w="6529"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263</w:t>
            </w:r>
          </w:p>
        </w:tc>
      </w:tr>
      <w:tr>
        <w:tblPrEx>
          <w:tblCellMar>
            <w:top w:w="0" w:type="dxa"/>
            <w:left w:w="0" w:type="dxa"/>
            <w:bottom w:w="0" w:type="dxa"/>
            <w:right w:w="0" w:type="dxa"/>
          </w:tblCellMar>
        </w:tblPrEx>
        <w:trPr>
          <w:trHeight w:val="343" w:hRule="atLeast"/>
          <w:jc w:val="center"/>
        </w:trPr>
        <w:tc>
          <w:tcPr>
            <w:tcW w:w="8705"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color w:val="000000"/>
                <w:kern w:val="0"/>
                <w:sz w:val="20"/>
                <w:szCs w:val="20"/>
              </w:rPr>
              <w:t>第二十条第（六）项</w:t>
            </w:r>
          </w:p>
        </w:tc>
      </w:tr>
      <w:tr>
        <w:tblPrEx>
          <w:tblCellMar>
            <w:top w:w="0" w:type="dxa"/>
            <w:left w:w="0" w:type="dxa"/>
            <w:bottom w:w="0" w:type="dxa"/>
            <w:right w:w="0" w:type="dxa"/>
          </w:tblCellMar>
        </w:tblPrEx>
        <w:trPr>
          <w:trHeight w:val="343" w:hRule="atLeast"/>
          <w:jc w:val="center"/>
        </w:trPr>
        <w:tc>
          <w:tcPr>
            <w:tcW w:w="2176"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color w:val="000000"/>
                <w:kern w:val="0"/>
                <w:sz w:val="20"/>
                <w:szCs w:val="20"/>
              </w:rPr>
              <w:t>信息内容</w:t>
            </w:r>
          </w:p>
        </w:tc>
        <w:tc>
          <w:tcPr>
            <w:tcW w:w="6529"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color w:val="000000"/>
                <w:kern w:val="0"/>
                <w:sz w:val="20"/>
                <w:szCs w:val="20"/>
              </w:rPr>
              <w:t>本年处理决定数量</w:t>
            </w:r>
          </w:p>
        </w:tc>
      </w:tr>
      <w:tr>
        <w:tblPrEx>
          <w:tblCellMar>
            <w:top w:w="0" w:type="dxa"/>
            <w:left w:w="0" w:type="dxa"/>
            <w:bottom w:w="0" w:type="dxa"/>
            <w:right w:w="0" w:type="dxa"/>
          </w:tblCellMar>
        </w:tblPrEx>
        <w:trPr>
          <w:trHeight w:val="343" w:hRule="atLeast"/>
          <w:jc w:val="center"/>
        </w:trPr>
        <w:tc>
          <w:tcPr>
            <w:tcW w:w="2176"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color w:val="000000"/>
                <w:kern w:val="0"/>
                <w:sz w:val="20"/>
                <w:szCs w:val="20"/>
              </w:rPr>
              <w:t>行政处罚</w:t>
            </w:r>
          </w:p>
        </w:tc>
        <w:tc>
          <w:tcPr>
            <w:tcW w:w="6529"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kern w:val="0"/>
              </w:rPr>
            </w:pPr>
            <w:r>
              <w:rPr>
                <w:rFonts w:hint="eastAsia"/>
                <w:kern w:val="0"/>
              </w:rPr>
              <w:t>6</w:t>
            </w:r>
          </w:p>
        </w:tc>
      </w:tr>
      <w:tr>
        <w:tblPrEx>
          <w:tblCellMar>
            <w:top w:w="0" w:type="dxa"/>
            <w:left w:w="0" w:type="dxa"/>
            <w:bottom w:w="0" w:type="dxa"/>
            <w:right w:w="0" w:type="dxa"/>
          </w:tblCellMar>
        </w:tblPrEx>
        <w:trPr>
          <w:trHeight w:val="343" w:hRule="atLeast"/>
          <w:jc w:val="center"/>
        </w:trPr>
        <w:tc>
          <w:tcPr>
            <w:tcW w:w="2176"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color w:val="000000"/>
                <w:kern w:val="0"/>
                <w:sz w:val="20"/>
                <w:szCs w:val="20"/>
              </w:rPr>
              <w:t>行政强制</w:t>
            </w:r>
          </w:p>
        </w:tc>
        <w:tc>
          <w:tcPr>
            <w:tcW w:w="6529"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kern w:val="0"/>
              </w:rPr>
            </w:pPr>
            <w:r>
              <w:rPr>
                <w:kern w:val="0"/>
              </w:rPr>
              <w:t>0</w:t>
            </w:r>
          </w:p>
        </w:tc>
      </w:tr>
      <w:tr>
        <w:tblPrEx>
          <w:tblCellMar>
            <w:top w:w="0" w:type="dxa"/>
            <w:left w:w="0" w:type="dxa"/>
            <w:bottom w:w="0" w:type="dxa"/>
            <w:right w:w="0" w:type="dxa"/>
          </w:tblCellMar>
        </w:tblPrEx>
        <w:trPr>
          <w:trHeight w:val="343" w:hRule="atLeast"/>
          <w:jc w:val="center"/>
        </w:trPr>
        <w:tc>
          <w:tcPr>
            <w:tcW w:w="8705"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color w:val="000000"/>
                <w:kern w:val="0"/>
                <w:sz w:val="20"/>
                <w:szCs w:val="20"/>
              </w:rPr>
              <w:t>第二十条第（八）项</w:t>
            </w:r>
          </w:p>
        </w:tc>
      </w:tr>
      <w:tr>
        <w:tblPrEx>
          <w:tblCellMar>
            <w:top w:w="0" w:type="dxa"/>
            <w:left w:w="0" w:type="dxa"/>
            <w:bottom w:w="0" w:type="dxa"/>
            <w:right w:w="0" w:type="dxa"/>
          </w:tblCellMar>
        </w:tblPrEx>
        <w:trPr>
          <w:trHeight w:val="343" w:hRule="atLeast"/>
          <w:jc w:val="center"/>
        </w:trPr>
        <w:tc>
          <w:tcPr>
            <w:tcW w:w="2176"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color w:val="000000"/>
                <w:kern w:val="0"/>
                <w:sz w:val="20"/>
                <w:szCs w:val="20"/>
              </w:rPr>
              <w:t>信息内容</w:t>
            </w:r>
          </w:p>
        </w:tc>
        <w:tc>
          <w:tcPr>
            <w:tcW w:w="6529"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jc w:val="center"/>
            </w:pPr>
            <w:r>
              <w:rPr>
                <w:color w:val="000000"/>
                <w:kern w:val="0"/>
                <w:sz w:val="20"/>
                <w:szCs w:val="20"/>
              </w:rPr>
              <w:t>本年收费金额（单位：万元）</w:t>
            </w:r>
          </w:p>
        </w:tc>
      </w:tr>
      <w:tr>
        <w:tblPrEx>
          <w:tblCellMar>
            <w:top w:w="0" w:type="dxa"/>
            <w:left w:w="0" w:type="dxa"/>
            <w:bottom w:w="0" w:type="dxa"/>
            <w:right w:w="0" w:type="dxa"/>
          </w:tblCellMar>
        </w:tblPrEx>
        <w:trPr>
          <w:trHeight w:val="343" w:hRule="atLeast"/>
          <w:jc w:val="center"/>
        </w:trPr>
        <w:tc>
          <w:tcPr>
            <w:tcW w:w="2176"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color w:val="000000"/>
                <w:kern w:val="0"/>
                <w:sz w:val="20"/>
                <w:szCs w:val="20"/>
              </w:rPr>
              <w:t>行政事业性收费</w:t>
            </w:r>
          </w:p>
        </w:tc>
        <w:tc>
          <w:tcPr>
            <w:tcW w:w="6529" w:type="dxa"/>
            <w:gridSpan w:val="3"/>
            <w:tcBorders>
              <w:top w:val="nil"/>
              <w:left w:val="nil"/>
              <w:bottom w:val="single" w:color="auto" w:sz="8" w:space="0"/>
              <w:right w:val="single" w:color="000000" w:sz="8" w:space="0"/>
            </w:tcBorders>
            <w:tcMar>
              <w:left w:w="57" w:type="dxa"/>
              <w:right w:w="57" w:type="dxa"/>
            </w:tcMar>
            <w:vAlign w:val="center"/>
          </w:tcPr>
          <w:p>
            <w:pPr>
              <w:jc w:val="center"/>
              <w:rPr>
                <w:sz w:val="24"/>
                <w:szCs w:val="24"/>
              </w:rPr>
            </w:pPr>
            <w:r>
              <w:rPr>
                <w:kern w:val="0"/>
              </w:rPr>
              <w:t>0</w:t>
            </w:r>
          </w:p>
        </w:tc>
      </w:tr>
    </w:tbl>
    <w:p>
      <w:pPr>
        <w:ind w:left="420" w:leftChars="200"/>
        <w:rPr>
          <w:color w:val="333333"/>
          <w:sz w:val="24"/>
          <w:szCs w:val="24"/>
        </w:rPr>
      </w:pPr>
      <w:r>
        <w:rPr>
          <w:rFonts w:eastAsia="黑体"/>
          <w:sz w:val="32"/>
          <w:szCs w:val="32"/>
        </w:rPr>
        <w:t>三、收到和处理政府信息公开申请情况</w:t>
      </w: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jc w:val="left"/>
            </w:pPr>
            <w:r>
              <w:rPr>
                <w:rFonts w:eastAsia="楷体"/>
                <w:kern w:val="0"/>
                <w:sz w:val="20"/>
                <w:szCs w:val="20"/>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kern w:val="0"/>
                <w:sz w:val="20"/>
                <w:szCs w:val="20"/>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widowControl/>
              <w:jc w:val="center"/>
            </w:pPr>
            <w:r>
              <w:rPr>
                <w:kern w:val="0"/>
                <w:sz w:val="20"/>
                <w:szCs w:val="20"/>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108" w:type="dxa"/>
              <w:right w:w="108" w:type="dxa"/>
            </w:tcMar>
            <w:vAlign w:val="center"/>
          </w:tcPr>
          <w:p>
            <w:pPr>
              <w:widowControl/>
              <w:jc w:val="center"/>
            </w:pPr>
            <w:r>
              <w:rPr>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sz w:val="24"/>
                <w:szCs w:val="24"/>
              </w:rPr>
            </w:pPr>
          </w:p>
        </w:tc>
        <w:tc>
          <w:tcPr>
            <w:tcW w:w="688" w:type="dxa"/>
            <w:tcBorders>
              <w:top w:val="nil"/>
              <w:left w:val="nil"/>
              <w:bottom w:val="single" w:color="auto" w:sz="8" w:space="0"/>
              <w:right w:val="single" w:color="auto" w:sz="8" w:space="0"/>
            </w:tcBorders>
            <w:shd w:val="clear" w:color="auto" w:fill="9BC2E6"/>
            <w:tcMar>
              <w:left w:w="108" w:type="dxa"/>
              <w:right w:w="108" w:type="dxa"/>
            </w:tcMar>
            <w:vAlign w:val="center"/>
          </w:tcPr>
          <w:p>
            <w:pPr>
              <w:widowControl/>
              <w:jc w:val="center"/>
            </w:pPr>
            <w:r>
              <w:rPr>
                <w:kern w:val="0"/>
                <w:sz w:val="20"/>
                <w:szCs w:val="20"/>
              </w:rPr>
              <w:t>商业</w:t>
            </w:r>
          </w:p>
          <w:p>
            <w:pPr>
              <w:widowControl/>
              <w:jc w:val="center"/>
            </w:pPr>
            <w:r>
              <w:rPr>
                <w:kern w:val="0"/>
                <w:sz w:val="20"/>
                <w:szCs w:val="20"/>
              </w:rPr>
              <w:t>企业</w:t>
            </w:r>
          </w:p>
        </w:tc>
        <w:tc>
          <w:tcPr>
            <w:tcW w:w="688" w:type="dxa"/>
            <w:tcBorders>
              <w:top w:val="nil"/>
              <w:left w:val="nil"/>
              <w:bottom w:val="single" w:color="auto" w:sz="8" w:space="0"/>
              <w:right w:val="single" w:color="auto" w:sz="8" w:space="0"/>
            </w:tcBorders>
            <w:shd w:val="clear" w:color="auto" w:fill="9BC2E6"/>
            <w:tcMar>
              <w:left w:w="108" w:type="dxa"/>
              <w:right w:w="108" w:type="dxa"/>
            </w:tcMar>
            <w:vAlign w:val="center"/>
          </w:tcPr>
          <w:p>
            <w:pPr>
              <w:widowControl/>
              <w:jc w:val="center"/>
            </w:pPr>
            <w:r>
              <w:rPr>
                <w:kern w:val="0"/>
                <w:sz w:val="20"/>
                <w:szCs w:val="20"/>
              </w:rPr>
              <w:t>科研</w:t>
            </w:r>
          </w:p>
          <w:p>
            <w:pPr>
              <w:widowControl/>
              <w:jc w:val="center"/>
            </w:pPr>
            <w:r>
              <w:rPr>
                <w:kern w:val="0"/>
                <w:sz w:val="20"/>
                <w:szCs w:val="20"/>
              </w:rPr>
              <w:t>机构</w:t>
            </w:r>
          </w:p>
        </w:tc>
        <w:tc>
          <w:tcPr>
            <w:tcW w:w="688"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widowControl/>
              <w:jc w:val="center"/>
            </w:pPr>
            <w:r>
              <w:rPr>
                <w:kern w:val="0"/>
                <w:sz w:val="20"/>
                <w:szCs w:val="20"/>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widowControl/>
              <w:jc w:val="center"/>
            </w:pPr>
            <w:r>
              <w:rPr>
                <w:kern w:val="0"/>
                <w:sz w:val="20"/>
                <w:szCs w:val="20"/>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108" w:type="dxa"/>
              <w:right w:w="108" w:type="dxa"/>
            </w:tcMar>
            <w:vAlign w:val="center"/>
          </w:tcPr>
          <w:p>
            <w:pPr>
              <w:widowControl/>
              <w:jc w:val="center"/>
            </w:pPr>
            <w:r>
              <w:rPr>
                <w:kern w:val="0"/>
                <w:sz w:val="20"/>
                <w:szCs w:val="20"/>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108" w:type="dxa"/>
              <w:right w:w="108" w:type="dxa"/>
            </w:tcMar>
            <w:vAlign w:val="center"/>
          </w:tcPr>
          <w:p>
            <w:pPr>
              <w:rPr>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kern w:val="0"/>
                <w:sz w:val="20"/>
                <w:szCs w:val="20"/>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kern w:val="0"/>
                <w:sz w:val="20"/>
                <w:szCs w:val="20"/>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idowControl/>
              <w:jc w:val="left"/>
            </w:pPr>
            <w:r>
              <w:rPr>
                <w:kern w:val="0"/>
                <w:sz w:val="20"/>
                <w:szCs w:val="20"/>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kern w:val="0"/>
                <w:sz w:val="20"/>
                <w:szCs w:val="20"/>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kern w:val="0"/>
                <w:sz w:val="20"/>
                <w:szCs w:val="20"/>
              </w:rPr>
              <w:t>（二）部分公开</w:t>
            </w:r>
            <w:r>
              <w:rPr>
                <w:rFonts w:eastAsia="楷体"/>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kern w:val="0"/>
                <w:sz w:val="20"/>
                <w:szCs w:val="20"/>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kern w:val="0"/>
                <w:sz w:val="20"/>
                <w:szCs w:val="20"/>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kern w:val="0"/>
                <w:sz w:val="20"/>
                <w:szCs w:val="20"/>
              </w:rP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kern w:val="0"/>
                <w:sz w:val="20"/>
                <w:szCs w:val="20"/>
              </w:rP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kern w:val="0"/>
                <w:sz w:val="20"/>
                <w:szCs w:val="20"/>
              </w:rP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kern w:val="0"/>
                <w:sz w:val="20"/>
                <w:szCs w:val="20"/>
              </w:rP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kern w:val="0"/>
                <w:sz w:val="20"/>
                <w:szCs w:val="20"/>
              </w:rPr>
            </w:pPr>
            <w:r>
              <w:rPr>
                <w:kern w:val="0"/>
                <w:sz w:val="20"/>
                <w:szCs w:val="20"/>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kern w:val="0"/>
                <w:sz w:val="20"/>
                <w:szCs w:val="20"/>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kern w:val="0"/>
                <w:sz w:val="20"/>
                <w:szCs w:val="20"/>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kern w:val="0"/>
                <w:sz w:val="20"/>
                <w:szCs w:val="20"/>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kern w:val="0"/>
                <w:sz w:val="20"/>
                <w:szCs w:val="20"/>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kern w:val="0"/>
                <w:sz w:val="20"/>
                <w:szCs w:val="20"/>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kern w:val="0"/>
                <w:sz w:val="20"/>
                <w:szCs w:val="20"/>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kern w:val="0"/>
                <w:sz w:val="20"/>
                <w:szCs w:val="20"/>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kern w:val="0"/>
                <w:sz w:val="20"/>
                <w:szCs w:val="20"/>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kern w:val="0"/>
                <w:sz w:val="20"/>
                <w:szCs w:val="20"/>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kern w:val="0"/>
                <w:sz w:val="20"/>
                <w:szCs w:val="20"/>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kern w:val="0"/>
                <w:sz w:val="20"/>
                <w:szCs w:val="20"/>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kern w:val="0"/>
                <w:sz w:val="20"/>
                <w:szCs w:val="20"/>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kern w:val="0"/>
                <w:sz w:val="20"/>
                <w:szCs w:val="20"/>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kern w:val="0"/>
                <w:sz w:val="20"/>
                <w:szCs w:val="20"/>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kern w:val="0"/>
                <w:sz w:val="20"/>
                <w:szCs w:val="20"/>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kern w:val="0"/>
                <w:sz w:val="20"/>
                <w:szCs w:val="20"/>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pPr>
            <w:r>
              <w:rPr>
                <w:kern w:val="0"/>
                <w:sz w:val="20"/>
                <w:szCs w:val="20"/>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9" w:type="dxa"/>
            <w:tcBorders>
              <w:top w:val="nil"/>
              <w:left w:val="nil"/>
              <w:bottom w:val="outset" w:color="auto" w:sz="8" w:space="0"/>
              <w:right w:val="single" w:color="auto" w:sz="8" w:space="0"/>
            </w:tcBorders>
            <w:tcMar>
              <w:left w:w="57" w:type="dxa"/>
              <w:right w:w="57" w:type="dxa"/>
            </w:tcMar>
            <w:vAlign w:val="center"/>
          </w:tcPr>
          <w:p>
            <w:pPr>
              <w:widowControl/>
              <w:jc w:val="center"/>
            </w:pPr>
            <w:r>
              <w:rPr>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widowControl/>
              <w:jc w:val="left"/>
            </w:pPr>
            <w:r>
              <w:rPr>
                <w:kern w:val="0"/>
                <w:sz w:val="20"/>
                <w:szCs w:val="20"/>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Pr>
            <w:r>
              <w:rPr>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Pr>
            <w:r>
              <w:rPr>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kern w:val="0"/>
                <w:sz w:val="20"/>
                <w:szCs w:val="20"/>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kern w:val="0"/>
                <w:sz w:val="20"/>
                <w:szCs w:val="20"/>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kern w:val="0"/>
                <w:sz w:val="20"/>
                <w:szCs w:val="2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kern w:val="0"/>
                <w:sz w:val="20"/>
                <w:szCs w:val="20"/>
              </w:rPr>
              <w:t>四、结转下年度继续办理</w:t>
            </w:r>
          </w:p>
        </w:tc>
        <w:tc>
          <w:tcPr>
            <w:tcW w:w="688" w:type="dxa"/>
            <w:tcBorders>
              <w:top w:val="outset" w:color="auto" w:sz="6" w:space="0"/>
              <w:left w:val="nil"/>
              <w:bottom w:val="outset" w:color="auto" w:sz="6" w:space="0"/>
              <w:right w:val="outset" w:color="auto" w:sz="6" w:space="0"/>
            </w:tcBorders>
            <w:vAlign w:val="center"/>
          </w:tcPr>
          <w:p>
            <w:pPr>
              <w:widowControl/>
              <w:jc w:val="center"/>
              <w:rPr>
                <w:sz w:val="24"/>
                <w:szCs w:val="24"/>
              </w:rPr>
            </w:pPr>
            <w:r>
              <w:rPr>
                <w:kern w:val="0"/>
                <w:sz w:val="20"/>
                <w:szCs w:val="20"/>
              </w:rPr>
              <w:t>0</w:t>
            </w:r>
          </w:p>
        </w:tc>
        <w:tc>
          <w:tcPr>
            <w:tcW w:w="688" w:type="dxa"/>
            <w:tcBorders>
              <w:top w:val="outset" w:color="auto" w:sz="6" w:space="0"/>
              <w:left w:val="nil"/>
              <w:bottom w:val="outset" w:color="auto" w:sz="6" w:space="0"/>
              <w:right w:val="outset" w:color="auto" w:sz="6" w:space="0"/>
            </w:tcBorders>
            <w:vAlign w:val="center"/>
          </w:tcPr>
          <w:p>
            <w:pPr>
              <w:widowControl/>
              <w:jc w:val="center"/>
              <w:rPr>
                <w:sz w:val="24"/>
                <w:szCs w:val="24"/>
              </w:rPr>
            </w:pPr>
            <w:r>
              <w:rPr>
                <w:kern w:val="0"/>
                <w:sz w:val="20"/>
                <w:szCs w:val="20"/>
              </w:rPr>
              <w:t>0</w:t>
            </w:r>
          </w:p>
        </w:tc>
        <w:tc>
          <w:tcPr>
            <w:tcW w:w="688" w:type="dxa"/>
            <w:tcBorders>
              <w:top w:val="outset" w:color="auto" w:sz="6" w:space="0"/>
              <w:left w:val="nil"/>
              <w:bottom w:val="outset" w:color="auto" w:sz="6" w:space="0"/>
              <w:right w:val="outset" w:color="auto" w:sz="6" w:space="0"/>
            </w:tcBorders>
            <w:vAlign w:val="center"/>
          </w:tcPr>
          <w:p>
            <w:pPr>
              <w:widowControl/>
              <w:jc w:val="center"/>
              <w:rPr>
                <w:sz w:val="24"/>
                <w:szCs w:val="24"/>
              </w:rPr>
            </w:pPr>
            <w:r>
              <w:rPr>
                <w:kern w:val="0"/>
                <w:sz w:val="20"/>
                <w:szCs w:val="20"/>
              </w:rPr>
              <w:t>0</w:t>
            </w:r>
          </w:p>
        </w:tc>
        <w:tc>
          <w:tcPr>
            <w:tcW w:w="688" w:type="dxa"/>
            <w:tcBorders>
              <w:top w:val="outset" w:color="auto" w:sz="6" w:space="0"/>
              <w:left w:val="nil"/>
              <w:bottom w:val="outset" w:color="auto" w:sz="6" w:space="0"/>
              <w:right w:val="outset" w:color="auto" w:sz="6" w:space="0"/>
            </w:tcBorders>
            <w:vAlign w:val="center"/>
          </w:tcPr>
          <w:p>
            <w:pPr>
              <w:widowControl/>
              <w:jc w:val="center"/>
              <w:rPr>
                <w:sz w:val="24"/>
                <w:szCs w:val="24"/>
              </w:rPr>
            </w:pPr>
            <w:r>
              <w:rPr>
                <w:kern w:val="0"/>
                <w:sz w:val="20"/>
                <w:szCs w:val="20"/>
              </w:rPr>
              <w:t>0</w:t>
            </w:r>
          </w:p>
        </w:tc>
        <w:tc>
          <w:tcPr>
            <w:tcW w:w="688" w:type="dxa"/>
            <w:tcBorders>
              <w:top w:val="outset" w:color="auto" w:sz="6" w:space="0"/>
              <w:left w:val="nil"/>
              <w:bottom w:val="outset" w:color="auto" w:sz="6" w:space="0"/>
              <w:right w:val="outset" w:color="auto" w:sz="6" w:space="0"/>
            </w:tcBorders>
            <w:vAlign w:val="center"/>
          </w:tcPr>
          <w:p>
            <w:pPr>
              <w:widowControl/>
              <w:jc w:val="center"/>
              <w:rPr>
                <w:sz w:val="24"/>
                <w:szCs w:val="24"/>
              </w:rPr>
            </w:pPr>
            <w:r>
              <w:rPr>
                <w:kern w:val="0"/>
                <w:sz w:val="20"/>
                <w:szCs w:val="20"/>
              </w:rPr>
              <w:t>0</w:t>
            </w:r>
          </w:p>
        </w:tc>
        <w:tc>
          <w:tcPr>
            <w:tcW w:w="688" w:type="dxa"/>
            <w:tcBorders>
              <w:top w:val="outset" w:color="auto" w:sz="6" w:space="0"/>
              <w:left w:val="nil"/>
              <w:bottom w:val="outset" w:color="auto" w:sz="6" w:space="0"/>
              <w:right w:val="outset" w:color="auto" w:sz="6" w:space="0"/>
            </w:tcBorders>
            <w:vAlign w:val="center"/>
          </w:tcPr>
          <w:p>
            <w:pPr>
              <w:widowControl/>
              <w:jc w:val="center"/>
              <w:rPr>
                <w:sz w:val="24"/>
                <w:szCs w:val="24"/>
              </w:rPr>
            </w:pPr>
            <w:r>
              <w:rPr>
                <w:kern w:val="0"/>
                <w:sz w:val="20"/>
                <w:szCs w:val="20"/>
              </w:rPr>
              <w:t>0</w:t>
            </w:r>
          </w:p>
        </w:tc>
        <w:tc>
          <w:tcPr>
            <w:tcW w:w="689" w:type="dxa"/>
            <w:tcBorders>
              <w:top w:val="outset" w:color="auto" w:sz="6" w:space="0"/>
              <w:left w:val="nil"/>
              <w:bottom w:val="outset" w:color="auto" w:sz="6" w:space="0"/>
              <w:right w:val="outset" w:color="auto" w:sz="6" w:space="0"/>
            </w:tcBorders>
            <w:vAlign w:val="center"/>
          </w:tcPr>
          <w:p>
            <w:pPr>
              <w:widowControl/>
              <w:jc w:val="center"/>
              <w:rPr>
                <w:sz w:val="24"/>
                <w:szCs w:val="24"/>
              </w:rPr>
            </w:pPr>
            <w:r>
              <w:rPr>
                <w:kern w:val="0"/>
                <w:sz w:val="20"/>
                <w:szCs w:val="20"/>
              </w:rPr>
              <w:t>0</w:t>
            </w:r>
          </w:p>
        </w:tc>
      </w:tr>
    </w:tbl>
    <w:p>
      <w:pPr>
        <w:spacing w:line="560" w:lineRule="exact"/>
        <w:ind w:firstLine="640" w:firstLineChars="200"/>
      </w:pPr>
      <w:r>
        <w:rPr>
          <w:rFonts w:eastAsia="黑体"/>
          <w:sz w:val="32"/>
          <w:szCs w:val="32"/>
        </w:rPr>
        <w:t>四、政府信息公开行政复议、行政诉讼情况</w:t>
      </w: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rPr>
                <w:kern w:val="0"/>
                <w:sz w:val="20"/>
                <w:szCs w:val="20"/>
              </w:rPr>
            </w:pPr>
            <w:r>
              <w:rPr>
                <w:kern w:val="0"/>
                <w:sz w:val="20"/>
                <w:szCs w:val="20"/>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rPr>
                <w:kern w:val="0"/>
                <w:sz w:val="20"/>
                <w:szCs w:val="20"/>
              </w:rPr>
            </w:pPr>
            <w:r>
              <w:rPr>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kern w:val="0"/>
                <w:sz w:val="20"/>
                <w:szCs w:val="20"/>
              </w:rPr>
            </w:pPr>
            <w:r>
              <w:rPr>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kern w:val="0"/>
                <w:sz w:val="20"/>
                <w:szCs w:val="20"/>
              </w:rPr>
            </w:pPr>
            <w:r>
              <w:rPr>
                <w:kern w:val="0"/>
                <w:sz w:val="20"/>
                <w:szCs w:val="20"/>
              </w:rPr>
              <w:t>结果</w:t>
            </w:r>
            <w:r>
              <w:rPr>
                <w:kern w:val="0"/>
                <w:sz w:val="20"/>
                <w:szCs w:val="20"/>
              </w:rPr>
              <w:br w:type="textWrapping"/>
            </w:r>
            <w:r>
              <w:rPr>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kern w:val="0"/>
                <w:sz w:val="20"/>
                <w:szCs w:val="20"/>
              </w:rPr>
            </w:pPr>
            <w:r>
              <w:rPr>
                <w:kern w:val="0"/>
                <w:sz w:val="20"/>
                <w:szCs w:val="20"/>
              </w:rPr>
              <w:t>其他</w:t>
            </w:r>
            <w:r>
              <w:rPr>
                <w:kern w:val="0"/>
                <w:sz w:val="20"/>
                <w:szCs w:val="20"/>
              </w:rPr>
              <w:br w:type="textWrapping"/>
            </w:r>
            <w:r>
              <w:rPr>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kern w:val="0"/>
                <w:sz w:val="20"/>
                <w:szCs w:val="20"/>
              </w:rPr>
            </w:pPr>
            <w:r>
              <w:rPr>
                <w:kern w:val="0"/>
                <w:sz w:val="20"/>
                <w:szCs w:val="20"/>
              </w:rPr>
              <w:t>尚未</w:t>
            </w:r>
            <w:r>
              <w:rPr>
                <w:kern w:val="0"/>
                <w:sz w:val="20"/>
                <w:szCs w:val="20"/>
              </w:rPr>
              <w:br w:type="textWrapping"/>
            </w:r>
            <w:r>
              <w:rPr>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kern w:val="0"/>
                <w:sz w:val="20"/>
                <w:szCs w:val="20"/>
              </w:rPr>
            </w:pPr>
            <w:r>
              <w:rPr>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rPr>
                <w:kern w:val="0"/>
                <w:sz w:val="20"/>
                <w:szCs w:val="20"/>
              </w:rPr>
            </w:pPr>
            <w:r>
              <w:rPr>
                <w:kern w:val="0"/>
                <w:sz w:val="20"/>
                <w:szCs w:val="20"/>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rPr>
                <w:kern w:val="0"/>
                <w:sz w:val="20"/>
                <w:szCs w:val="20"/>
              </w:rPr>
            </w:pPr>
            <w:r>
              <w:rPr>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kern w:val="0"/>
                <w:sz w:val="20"/>
                <w:szCs w:val="20"/>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kern w:val="0"/>
                <w:sz w:val="20"/>
                <w:szCs w:val="20"/>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kern w:val="0"/>
                <w:sz w:val="20"/>
                <w:szCs w:val="20"/>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kern w:val="0"/>
                <w:sz w:val="20"/>
                <w:szCs w:val="20"/>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kern w:val="0"/>
                <w:sz w:val="20"/>
                <w:szCs w:val="20"/>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kern w:val="0"/>
                <w:sz w:val="20"/>
                <w:szCs w:val="20"/>
              </w:rPr>
            </w:pPr>
            <w:r>
              <w:rPr>
                <w:kern w:val="0"/>
                <w:sz w:val="20"/>
                <w:szCs w:val="20"/>
              </w:rPr>
              <w:t>结果</w:t>
            </w:r>
            <w:r>
              <w:rPr>
                <w:kern w:val="0"/>
                <w:sz w:val="20"/>
                <w:szCs w:val="20"/>
              </w:rPr>
              <w:br w:type="textWrapping"/>
            </w:r>
            <w:r>
              <w:rPr>
                <w:kern w:val="0"/>
                <w:sz w:val="20"/>
                <w:szCs w:val="20"/>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kern w:val="0"/>
                <w:sz w:val="20"/>
                <w:szCs w:val="20"/>
              </w:rPr>
            </w:pPr>
            <w:r>
              <w:rPr>
                <w:kern w:val="0"/>
                <w:sz w:val="20"/>
                <w:szCs w:val="20"/>
              </w:rPr>
              <w:t>结果</w:t>
            </w:r>
            <w:r>
              <w:rPr>
                <w:kern w:val="0"/>
                <w:sz w:val="20"/>
                <w:szCs w:val="20"/>
              </w:rPr>
              <w:br w:type="textWrapping"/>
            </w:r>
            <w:r>
              <w:rPr>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kern w:val="0"/>
                <w:sz w:val="20"/>
                <w:szCs w:val="20"/>
              </w:rPr>
            </w:pPr>
            <w:r>
              <w:rPr>
                <w:kern w:val="0"/>
                <w:sz w:val="20"/>
                <w:szCs w:val="20"/>
              </w:rPr>
              <w:t>其他</w:t>
            </w:r>
            <w:r>
              <w:rPr>
                <w:kern w:val="0"/>
                <w:sz w:val="20"/>
                <w:szCs w:val="20"/>
              </w:rPr>
              <w:br w:type="textWrapping"/>
            </w:r>
            <w:r>
              <w:rPr>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kern w:val="0"/>
                <w:sz w:val="20"/>
                <w:szCs w:val="20"/>
              </w:rPr>
            </w:pPr>
            <w:r>
              <w:rPr>
                <w:kern w:val="0"/>
                <w:sz w:val="20"/>
                <w:szCs w:val="20"/>
              </w:rPr>
              <w:t>尚未</w:t>
            </w:r>
            <w:r>
              <w:rPr>
                <w:kern w:val="0"/>
                <w:sz w:val="20"/>
                <w:szCs w:val="20"/>
              </w:rPr>
              <w:br w:type="textWrapping"/>
            </w:r>
            <w:r>
              <w:rPr>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kern w:val="0"/>
                <w:sz w:val="20"/>
                <w:szCs w:val="20"/>
              </w:rPr>
            </w:pPr>
            <w:r>
              <w:rPr>
                <w:kern w:val="0"/>
                <w:sz w:val="20"/>
                <w:szCs w:val="20"/>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kern w:val="0"/>
                <w:sz w:val="20"/>
                <w:szCs w:val="20"/>
              </w:rPr>
            </w:pPr>
            <w:r>
              <w:rPr>
                <w:kern w:val="0"/>
                <w:sz w:val="20"/>
                <w:szCs w:val="20"/>
              </w:rPr>
              <w:t>结果</w:t>
            </w:r>
            <w:r>
              <w:rPr>
                <w:kern w:val="0"/>
                <w:sz w:val="20"/>
                <w:szCs w:val="20"/>
              </w:rPr>
              <w:br w:type="textWrapping"/>
            </w:r>
            <w:r>
              <w:rPr>
                <w:kern w:val="0"/>
                <w:sz w:val="20"/>
                <w:szCs w:val="20"/>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kern w:val="0"/>
                <w:sz w:val="20"/>
                <w:szCs w:val="20"/>
              </w:rPr>
            </w:pPr>
            <w:r>
              <w:rPr>
                <w:kern w:val="0"/>
                <w:sz w:val="20"/>
                <w:szCs w:val="20"/>
              </w:rPr>
              <w:t>结果</w:t>
            </w:r>
            <w:r>
              <w:rPr>
                <w:kern w:val="0"/>
                <w:sz w:val="20"/>
                <w:szCs w:val="20"/>
              </w:rPr>
              <w:br w:type="textWrapping"/>
            </w:r>
            <w:r>
              <w:rPr>
                <w:kern w:val="0"/>
                <w:sz w:val="20"/>
                <w:szCs w:val="20"/>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kern w:val="0"/>
                <w:sz w:val="20"/>
                <w:szCs w:val="20"/>
              </w:rPr>
            </w:pPr>
            <w:r>
              <w:rPr>
                <w:kern w:val="0"/>
                <w:sz w:val="20"/>
                <w:szCs w:val="20"/>
              </w:rPr>
              <w:t>其他</w:t>
            </w:r>
            <w:r>
              <w:rPr>
                <w:kern w:val="0"/>
                <w:sz w:val="20"/>
                <w:szCs w:val="20"/>
              </w:rPr>
              <w:br w:type="textWrapping"/>
            </w:r>
            <w:r>
              <w:rPr>
                <w:kern w:val="0"/>
                <w:sz w:val="20"/>
                <w:szCs w:val="20"/>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kern w:val="0"/>
                <w:sz w:val="20"/>
                <w:szCs w:val="20"/>
              </w:rPr>
            </w:pPr>
            <w:r>
              <w:rPr>
                <w:kern w:val="0"/>
                <w:sz w:val="20"/>
                <w:szCs w:val="20"/>
              </w:rPr>
              <w:t>尚未</w:t>
            </w:r>
            <w:r>
              <w:rPr>
                <w:kern w:val="0"/>
                <w:sz w:val="20"/>
                <w:szCs w:val="20"/>
              </w:rPr>
              <w:br w:type="textWrapping"/>
            </w:r>
            <w:r>
              <w:rPr>
                <w:kern w:val="0"/>
                <w:sz w:val="20"/>
                <w:szCs w:val="20"/>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kern w:val="0"/>
                <w:sz w:val="20"/>
                <w:szCs w:val="20"/>
              </w:rPr>
            </w:pPr>
            <w:r>
              <w:rPr>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kern w:val="0"/>
                <w:sz w:val="20"/>
                <w:szCs w:val="20"/>
              </w:rPr>
            </w:pPr>
            <w:r>
              <w:rPr>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kern w:val="0"/>
                <w:sz w:val="20"/>
                <w:szCs w:val="20"/>
              </w:rPr>
            </w:pPr>
            <w:r>
              <w:rPr>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kern w:val="0"/>
                <w:sz w:val="20"/>
                <w:szCs w:val="20"/>
              </w:rPr>
            </w:pPr>
            <w:r>
              <w:rPr>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kern w:val="0"/>
                <w:sz w:val="20"/>
                <w:szCs w:val="20"/>
              </w:rPr>
            </w:pPr>
            <w:r>
              <w:rPr>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kern w:val="0"/>
                <w:sz w:val="20"/>
                <w:szCs w:val="20"/>
              </w:rPr>
            </w:pPr>
            <w:r>
              <w:rPr>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kern w:val="0"/>
                <w:sz w:val="20"/>
                <w:szCs w:val="20"/>
              </w:rPr>
            </w:pPr>
            <w:r>
              <w:rPr>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kern w:val="0"/>
                <w:sz w:val="20"/>
                <w:szCs w:val="20"/>
              </w:rPr>
            </w:pPr>
            <w:r>
              <w:rPr>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kern w:val="0"/>
                <w:sz w:val="20"/>
                <w:szCs w:val="20"/>
              </w:rPr>
            </w:pPr>
            <w:r>
              <w:rPr>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kern w:val="0"/>
                <w:sz w:val="20"/>
                <w:szCs w:val="20"/>
              </w:rPr>
            </w:pPr>
            <w:r>
              <w:rPr>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kern w:val="0"/>
                <w:sz w:val="20"/>
                <w:szCs w:val="20"/>
              </w:rPr>
            </w:pPr>
            <w:r>
              <w:rPr>
                <w:kern w:val="0"/>
                <w:sz w:val="20"/>
                <w:szCs w:val="20"/>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kern w:val="0"/>
                <w:sz w:val="20"/>
                <w:szCs w:val="20"/>
              </w:rPr>
            </w:pPr>
            <w:r>
              <w:rPr>
                <w:kern w:val="0"/>
                <w:sz w:val="20"/>
                <w:szCs w:val="20"/>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kern w:val="0"/>
                <w:sz w:val="20"/>
                <w:szCs w:val="20"/>
              </w:rPr>
            </w:pPr>
            <w:r>
              <w:rPr>
                <w:kern w:val="0"/>
                <w:sz w:val="20"/>
                <w:szCs w:val="20"/>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kern w:val="0"/>
                <w:sz w:val="20"/>
                <w:szCs w:val="20"/>
              </w:rPr>
            </w:pPr>
            <w:r>
              <w:rPr>
                <w:kern w:val="0"/>
                <w:sz w:val="20"/>
                <w:szCs w:val="20"/>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kern w:val="0"/>
                <w:sz w:val="20"/>
                <w:szCs w:val="20"/>
              </w:rPr>
            </w:pPr>
            <w:r>
              <w:rPr>
                <w:kern w:val="0"/>
                <w:sz w:val="20"/>
                <w:szCs w:val="20"/>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kern w:val="0"/>
                <w:sz w:val="20"/>
                <w:szCs w:val="20"/>
              </w:rPr>
            </w:pPr>
            <w:r>
              <w:rPr>
                <w:kern w:val="0"/>
                <w:sz w:val="20"/>
                <w:szCs w:val="20"/>
              </w:rPr>
              <w:t>0</w:t>
            </w:r>
          </w:p>
        </w:tc>
      </w:tr>
    </w:tbl>
    <w:p>
      <w:pPr>
        <w:widowControl/>
        <w:spacing w:line="560" w:lineRule="exact"/>
        <w:ind w:firstLine="672" w:firstLineChars="200"/>
        <w:jc w:val="left"/>
        <w:rPr>
          <w:spacing w:val="8"/>
          <w:kern w:val="0"/>
          <w:sz w:val="24"/>
        </w:rPr>
      </w:pPr>
      <w:r>
        <w:rPr>
          <w:rFonts w:eastAsia="黑体"/>
          <w:spacing w:val="8"/>
          <w:kern w:val="0"/>
          <w:sz w:val="32"/>
          <w:szCs w:val="32"/>
        </w:rPr>
        <w:t>五、存在的主要问题及改进情况</w:t>
      </w:r>
    </w:p>
    <w:p>
      <w:pPr>
        <w:widowControl/>
        <w:spacing w:line="560" w:lineRule="exact"/>
        <w:ind w:firstLine="675"/>
        <w:jc w:val="left"/>
        <w:rPr>
          <w:rFonts w:eastAsia="仿宋_GB2312"/>
          <w:spacing w:val="8"/>
          <w:kern w:val="0"/>
          <w:sz w:val="32"/>
          <w:szCs w:val="32"/>
        </w:rPr>
      </w:pPr>
      <w:r>
        <w:rPr>
          <w:rFonts w:eastAsia="仿宋_GB2312"/>
          <w:spacing w:val="8"/>
          <w:kern w:val="0"/>
          <w:sz w:val="32"/>
          <w:szCs w:val="32"/>
        </w:rPr>
        <w:t>202</w:t>
      </w:r>
      <w:r>
        <w:rPr>
          <w:rFonts w:hint="eastAsia" w:eastAsia="仿宋_GB2312"/>
          <w:spacing w:val="8"/>
          <w:kern w:val="0"/>
          <w:sz w:val="32"/>
          <w:szCs w:val="32"/>
        </w:rPr>
        <w:t>2</w:t>
      </w:r>
      <w:r>
        <w:rPr>
          <w:rFonts w:eastAsia="仿宋_GB2312"/>
          <w:spacing w:val="8"/>
          <w:kern w:val="0"/>
          <w:sz w:val="32"/>
          <w:szCs w:val="32"/>
        </w:rPr>
        <w:t>年</w:t>
      </w:r>
      <w:r>
        <w:rPr>
          <w:rFonts w:hint="eastAsia" w:eastAsia="仿宋_GB2312"/>
          <w:spacing w:val="8"/>
          <w:kern w:val="0"/>
          <w:sz w:val="32"/>
          <w:szCs w:val="32"/>
        </w:rPr>
        <w:t>，我办</w:t>
      </w:r>
      <w:r>
        <w:rPr>
          <w:rFonts w:eastAsia="仿宋_GB2312"/>
          <w:spacing w:val="8"/>
          <w:kern w:val="0"/>
          <w:sz w:val="32"/>
          <w:szCs w:val="32"/>
        </w:rPr>
        <w:t>扎实做好政府信息公开工作，在</w:t>
      </w:r>
      <w:r>
        <w:rPr>
          <w:rFonts w:hint="eastAsia" w:eastAsia="仿宋_GB2312"/>
          <w:spacing w:val="8"/>
          <w:kern w:val="0"/>
          <w:sz w:val="32"/>
          <w:szCs w:val="32"/>
        </w:rPr>
        <w:t>组织领导</w:t>
      </w:r>
      <w:r>
        <w:rPr>
          <w:rFonts w:eastAsia="仿宋_GB2312"/>
          <w:spacing w:val="8"/>
          <w:kern w:val="0"/>
          <w:sz w:val="32"/>
          <w:szCs w:val="32"/>
        </w:rPr>
        <w:t>、政府信息管理、平台建设等方面进行了有益探索，取得了一定成效，但仍然存在一些短板和弱项。如政策解读力度还需进一步加大，信息公开工作的信息化水平仍需提升</w:t>
      </w:r>
      <w:r>
        <w:rPr>
          <w:rFonts w:hint="eastAsia" w:eastAsia="仿宋_GB2312"/>
          <w:spacing w:val="8"/>
          <w:kern w:val="0"/>
          <w:sz w:val="32"/>
          <w:szCs w:val="32"/>
        </w:rPr>
        <w:t>，</w:t>
      </w:r>
      <w:r>
        <w:rPr>
          <w:rFonts w:eastAsia="仿宋_GB2312"/>
          <w:spacing w:val="8"/>
          <w:kern w:val="0"/>
          <w:sz w:val="32"/>
          <w:szCs w:val="32"/>
        </w:rPr>
        <w:t>政府信息公开工作队伍建设还要进一步加强</w:t>
      </w:r>
      <w:r>
        <w:rPr>
          <w:rFonts w:hint="eastAsia" w:eastAsia="仿宋_GB2312"/>
          <w:spacing w:val="8"/>
          <w:kern w:val="0"/>
          <w:sz w:val="32"/>
          <w:szCs w:val="32"/>
        </w:rPr>
        <w:t>，公开内容的文字表述规范性、条例引用准确性仍需提高</w:t>
      </w:r>
      <w:r>
        <w:rPr>
          <w:rFonts w:eastAsia="仿宋_GB2312"/>
          <w:spacing w:val="8"/>
          <w:kern w:val="0"/>
          <w:sz w:val="32"/>
          <w:szCs w:val="32"/>
        </w:rPr>
        <w:t>。</w:t>
      </w:r>
    </w:p>
    <w:p>
      <w:pPr>
        <w:widowControl/>
        <w:spacing w:line="560" w:lineRule="exact"/>
        <w:ind w:firstLine="675"/>
        <w:jc w:val="left"/>
        <w:rPr>
          <w:rFonts w:eastAsia="仿宋_GB2312"/>
          <w:spacing w:val="8"/>
          <w:kern w:val="0"/>
          <w:sz w:val="32"/>
          <w:szCs w:val="32"/>
        </w:rPr>
      </w:pPr>
      <w:r>
        <w:rPr>
          <w:rFonts w:eastAsia="仿宋_GB2312"/>
          <w:spacing w:val="8"/>
          <w:kern w:val="0"/>
          <w:sz w:val="32"/>
          <w:szCs w:val="32"/>
        </w:rPr>
        <w:t>2023年，区人防办将进一步强化问题意识，坚持自查自纠，对政务公开困难大、问题多的地方，深入剖析、找准问题、对症下药</w:t>
      </w:r>
      <w:r>
        <w:rPr>
          <w:rFonts w:hint="eastAsia" w:eastAsia="仿宋_GB2312"/>
          <w:spacing w:val="8"/>
          <w:kern w:val="0"/>
          <w:sz w:val="32"/>
          <w:szCs w:val="32"/>
        </w:rPr>
        <w:t>。通过自学政策文件，加强理论水平；通过集体学习、邀请律师现场讲解，加强实践操作，深入学习政府信息公开知识，</w:t>
      </w:r>
      <w:r>
        <w:rPr>
          <w:rFonts w:eastAsia="仿宋_GB2312"/>
          <w:spacing w:val="8"/>
          <w:kern w:val="0"/>
          <w:sz w:val="32"/>
          <w:szCs w:val="32"/>
        </w:rPr>
        <w:t>提高政务公开水平，促使</w:t>
      </w:r>
      <w:r>
        <w:rPr>
          <w:rFonts w:hint="eastAsia" w:eastAsia="仿宋_GB2312"/>
          <w:spacing w:val="8"/>
          <w:kern w:val="0"/>
          <w:sz w:val="32"/>
          <w:szCs w:val="32"/>
        </w:rPr>
        <w:t>政府信息公开工作“向前一步”</w:t>
      </w:r>
      <w:r>
        <w:rPr>
          <w:rFonts w:eastAsia="仿宋_GB2312"/>
          <w:spacing w:val="8"/>
          <w:kern w:val="0"/>
          <w:sz w:val="32"/>
          <w:szCs w:val="32"/>
        </w:rPr>
        <w:t>开展。</w:t>
      </w:r>
    </w:p>
    <w:p>
      <w:pPr>
        <w:widowControl/>
        <w:spacing w:line="560" w:lineRule="exact"/>
        <w:ind w:firstLine="672" w:firstLineChars="200"/>
        <w:jc w:val="left"/>
        <w:rPr>
          <w:rFonts w:eastAsia="黑体"/>
          <w:spacing w:val="8"/>
          <w:kern w:val="0"/>
          <w:sz w:val="32"/>
          <w:szCs w:val="32"/>
        </w:rPr>
      </w:pPr>
      <w:r>
        <w:rPr>
          <w:rFonts w:eastAsia="黑体"/>
          <w:spacing w:val="8"/>
          <w:kern w:val="0"/>
          <w:sz w:val="32"/>
          <w:szCs w:val="32"/>
        </w:rPr>
        <w:t>六、其他需要报告的事项</w:t>
      </w:r>
    </w:p>
    <w:p>
      <w:pPr>
        <w:pStyle w:val="6"/>
        <w:widowControl/>
        <w:spacing w:before="0" w:beforeAutospacing="0" w:after="0" w:afterAutospacing="0" w:line="560" w:lineRule="exact"/>
        <w:ind w:firstLine="672" w:firstLineChars="200"/>
        <w:rPr>
          <w:rFonts w:eastAsia="仿宋_GB2312"/>
          <w:spacing w:val="8"/>
          <w:sz w:val="32"/>
          <w:szCs w:val="32"/>
        </w:rPr>
      </w:pPr>
      <w:r>
        <w:rPr>
          <w:rFonts w:eastAsia="仿宋_GB2312"/>
          <w:spacing w:val="8"/>
          <w:sz w:val="32"/>
          <w:szCs w:val="32"/>
        </w:rPr>
        <w:t>本单位依据《政府信息公开信息处理费管理办法》收取信息处理费，发出收费通知的件数和总金额以及实际收取的总金额均为0。</w:t>
      </w:r>
    </w:p>
    <w:p>
      <w:pPr>
        <w:widowControl/>
        <w:spacing w:line="560" w:lineRule="exact"/>
        <w:ind w:firstLine="672" w:firstLineChars="200"/>
        <w:jc w:val="left"/>
        <w:rPr>
          <w:rFonts w:eastAsia="仿宋_GB2312"/>
          <w:spacing w:val="8"/>
          <w:kern w:val="0"/>
          <w:sz w:val="32"/>
          <w:szCs w:val="32"/>
        </w:rPr>
      </w:pPr>
      <w:r>
        <w:rPr>
          <w:rFonts w:eastAsia="仿宋_GB2312"/>
          <w:spacing w:val="8"/>
          <w:kern w:val="0"/>
          <w:sz w:val="32"/>
          <w:szCs w:val="32"/>
        </w:rPr>
        <w:t>本报告中所列数据的统计期限自2022年1月1日至2022年12月31日止。如需了解更多信息或下载本报告的电子版，请登录北京市东城区人民政府门户网站，网站地址为http://www.bjdch.gov.cn。</w:t>
      </w:r>
    </w:p>
    <w:p>
      <w:pPr>
        <w:pStyle w:val="2"/>
        <w:rPr>
          <w:rFonts w:ascii="Times New Roman" w:hAnsi="Times New Roman" w:eastAsia="仿宋_GB2312"/>
          <w:spacing w:val="8"/>
          <w:kern w:val="0"/>
          <w:sz w:val="32"/>
          <w:szCs w:val="32"/>
        </w:rPr>
      </w:pPr>
    </w:p>
    <w:p>
      <w:pPr>
        <w:pStyle w:val="2"/>
        <w:wordWrap w:val="0"/>
        <w:rPr>
          <w:rFonts w:ascii="Times New Roman" w:hAnsi="Times New Roman" w:eastAsia="仿宋_GB2312"/>
          <w:spacing w:val="8"/>
          <w:kern w:val="0"/>
          <w:sz w:val="32"/>
          <w:szCs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DD341D"/>
    <w:multiLevelType w:val="singleLevel"/>
    <w:tmpl w:val="61DD341D"/>
    <w:lvl w:ilvl="0" w:tentative="0">
      <w:start w:val="1"/>
      <w:numFmt w:val="chineseCounting"/>
      <w:suff w:val="nothing"/>
      <w:lvlText w:val="%1、"/>
      <w:lvlJc w:val="left"/>
    </w:lvl>
  </w:abstractNum>
  <w:abstractNum w:abstractNumId="1">
    <w:nsid w:val="61EA61E3"/>
    <w:multiLevelType w:val="singleLevel"/>
    <w:tmpl w:val="61EA61E3"/>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BiOGI4MTZhNzk4MGQ1OGVmZWE4MmVhYTY5YTNmMDAifQ=="/>
    <w:docVar w:name="KSO_WPS_MARK_KEY" w:val="39fa17e2-d2f7-41ff-9ad6-ecbe4bb0f994"/>
  </w:docVars>
  <w:rsids>
    <w:rsidRoot w:val="486513D7"/>
    <w:rsid w:val="004A7BC7"/>
    <w:rsid w:val="007266C4"/>
    <w:rsid w:val="00D16DEE"/>
    <w:rsid w:val="00ED6314"/>
    <w:rsid w:val="02946A5C"/>
    <w:rsid w:val="079209A9"/>
    <w:rsid w:val="07986A59"/>
    <w:rsid w:val="0824010D"/>
    <w:rsid w:val="08E92F20"/>
    <w:rsid w:val="08F901BC"/>
    <w:rsid w:val="0AAE0C5D"/>
    <w:rsid w:val="0B05794F"/>
    <w:rsid w:val="0DD12497"/>
    <w:rsid w:val="0F1F3A0E"/>
    <w:rsid w:val="0F84379D"/>
    <w:rsid w:val="106E1D4A"/>
    <w:rsid w:val="12D72E39"/>
    <w:rsid w:val="173C256C"/>
    <w:rsid w:val="19154FE5"/>
    <w:rsid w:val="1AB17FF5"/>
    <w:rsid w:val="1C890250"/>
    <w:rsid w:val="1EAA7506"/>
    <w:rsid w:val="20E10959"/>
    <w:rsid w:val="22181189"/>
    <w:rsid w:val="223277E2"/>
    <w:rsid w:val="23180FD0"/>
    <w:rsid w:val="25FB4E3D"/>
    <w:rsid w:val="26323B86"/>
    <w:rsid w:val="296E61FC"/>
    <w:rsid w:val="29EA41ED"/>
    <w:rsid w:val="2D0B609B"/>
    <w:rsid w:val="2D574331"/>
    <w:rsid w:val="2F6451D1"/>
    <w:rsid w:val="2F820EF8"/>
    <w:rsid w:val="307B73C6"/>
    <w:rsid w:val="33314367"/>
    <w:rsid w:val="33EE0612"/>
    <w:rsid w:val="345C4E05"/>
    <w:rsid w:val="35A45349"/>
    <w:rsid w:val="371D56CA"/>
    <w:rsid w:val="38785A41"/>
    <w:rsid w:val="387F719B"/>
    <w:rsid w:val="3A6D48FB"/>
    <w:rsid w:val="3A7148AE"/>
    <w:rsid w:val="3C743998"/>
    <w:rsid w:val="3CE23387"/>
    <w:rsid w:val="43707B86"/>
    <w:rsid w:val="4434270E"/>
    <w:rsid w:val="45A310EA"/>
    <w:rsid w:val="45C73031"/>
    <w:rsid w:val="45D71643"/>
    <w:rsid w:val="461C1118"/>
    <w:rsid w:val="475A52EC"/>
    <w:rsid w:val="485E07E3"/>
    <w:rsid w:val="486513D7"/>
    <w:rsid w:val="499C0AE2"/>
    <w:rsid w:val="4D923ABF"/>
    <w:rsid w:val="504C6186"/>
    <w:rsid w:val="514C711A"/>
    <w:rsid w:val="51985944"/>
    <w:rsid w:val="52D73545"/>
    <w:rsid w:val="52FA4091"/>
    <w:rsid w:val="536F4E27"/>
    <w:rsid w:val="54085BB8"/>
    <w:rsid w:val="57EA7234"/>
    <w:rsid w:val="5B874C86"/>
    <w:rsid w:val="5C213836"/>
    <w:rsid w:val="5E2C564E"/>
    <w:rsid w:val="5EB36A3F"/>
    <w:rsid w:val="64336C7D"/>
    <w:rsid w:val="643D1050"/>
    <w:rsid w:val="65770EB4"/>
    <w:rsid w:val="674E5F54"/>
    <w:rsid w:val="67B3628A"/>
    <w:rsid w:val="6A4B38E0"/>
    <w:rsid w:val="6AD419F5"/>
    <w:rsid w:val="6CE77993"/>
    <w:rsid w:val="6DB1677E"/>
    <w:rsid w:val="6F4F771B"/>
    <w:rsid w:val="746522AA"/>
    <w:rsid w:val="74A1004B"/>
    <w:rsid w:val="753831C8"/>
    <w:rsid w:val="75716417"/>
    <w:rsid w:val="75B43B24"/>
    <w:rsid w:val="77110497"/>
    <w:rsid w:val="77EF03F9"/>
    <w:rsid w:val="79656B7A"/>
    <w:rsid w:val="7BA04345"/>
    <w:rsid w:val="7DCE2436"/>
    <w:rsid w:val="7E893E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jc w:val="left"/>
      <w:outlineLvl w:val="0"/>
    </w:pPr>
    <w:rPr>
      <w:rFonts w:hint="eastAsia" w:ascii="宋体" w:hAnsi="宋体"/>
      <w:kern w:val="44"/>
      <w:sz w:val="24"/>
      <w:szCs w:val="2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Strong"/>
    <w:basedOn w:val="8"/>
    <w:qFormat/>
    <w:uiPriority w:val="0"/>
    <w:rPr>
      <w:b/>
    </w:rPr>
  </w:style>
  <w:style w:type="character" w:styleId="10">
    <w:name w:val="FollowedHyperlink"/>
    <w:basedOn w:val="8"/>
    <w:qFormat/>
    <w:uiPriority w:val="0"/>
    <w:rPr>
      <w:color w:val="000000"/>
      <w:u w:val="none"/>
    </w:rPr>
  </w:style>
  <w:style w:type="character" w:styleId="11">
    <w:name w:val="Emphasis"/>
    <w:basedOn w:val="8"/>
    <w:qFormat/>
    <w:uiPriority w:val="0"/>
    <w:rPr>
      <w:i/>
    </w:rPr>
  </w:style>
  <w:style w:type="character" w:styleId="12">
    <w:name w:val="Hyperlink"/>
    <w:basedOn w:val="8"/>
    <w:qFormat/>
    <w:uiPriority w:val="0"/>
    <w:rPr>
      <w:color w:val="000000"/>
      <w:u w:val="none"/>
    </w:rPr>
  </w:style>
  <w:style w:type="character" w:styleId="13">
    <w:name w:val="HTML Code"/>
    <w:basedOn w:val="8"/>
    <w:qFormat/>
    <w:uiPriority w:val="0"/>
    <w:rPr>
      <w:rFonts w:ascii="Courier New" w:hAnsi="Courier New"/>
      <w:sz w:val="20"/>
    </w:rPr>
  </w:style>
  <w:style w:type="character" w:customStyle="1" w:styleId="14">
    <w:name w:val="sdpic"/>
    <w:basedOn w:val="8"/>
    <w:qFormat/>
    <w:uiPriority w:val="0"/>
  </w:style>
  <w:style w:type="character" w:customStyle="1" w:styleId="15">
    <w:name w:val="more3"/>
    <w:basedOn w:val="8"/>
    <w:qFormat/>
    <w:uiPriority w:val="0"/>
    <w:rPr>
      <w:color w:val="4D4D4D"/>
      <w:sz w:val="16"/>
      <w:szCs w:val="16"/>
    </w:rPr>
  </w:style>
  <w:style w:type="character" w:customStyle="1" w:styleId="16">
    <w:name w:val="dftime"/>
    <w:basedOn w:val="8"/>
    <w:qFormat/>
    <w:uiPriority w:val="0"/>
    <w:rPr>
      <w:color w:val="A1A1A1"/>
      <w:sz w:val="16"/>
      <w:szCs w:val="16"/>
    </w:rPr>
  </w:style>
  <w:style w:type="character" w:customStyle="1" w:styleId="17">
    <w:name w:val="width22"/>
    <w:basedOn w:val="8"/>
    <w:qFormat/>
    <w:uiPriority w:val="0"/>
  </w:style>
  <w:style w:type="character" w:customStyle="1" w:styleId="18">
    <w:name w:val="width24"/>
    <w:basedOn w:val="8"/>
    <w:qFormat/>
    <w:uiPriority w:val="0"/>
  </w:style>
  <w:style w:type="character" w:customStyle="1" w:styleId="19">
    <w:name w:val="u_page"/>
    <w:basedOn w:val="8"/>
    <w:qFormat/>
    <w:uiPriority w:val="0"/>
  </w:style>
  <w:style w:type="character" w:customStyle="1" w:styleId="20">
    <w:name w:val="xtitle"/>
    <w:basedOn w:val="8"/>
    <w:qFormat/>
    <w:uiPriority w:val="0"/>
    <w:rPr>
      <w:color w:val="A1A1A1"/>
      <w:sz w:val="14"/>
      <w:szCs w:val="14"/>
      <w:bdr w:val="single" w:color="A1A1A1" w:sz="4" w:space="0"/>
    </w:rPr>
  </w:style>
  <w:style w:type="character" w:customStyle="1" w:styleId="21">
    <w:name w:val="more5"/>
    <w:basedOn w:val="8"/>
    <w:qFormat/>
    <w:uiPriority w:val="0"/>
    <w:rPr>
      <w:color w:val="4D4D4D"/>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2468</Words>
  <Characters>2568</Characters>
  <Lines>23</Lines>
  <Paragraphs>6</Paragraphs>
  <TotalTime>9</TotalTime>
  <ScaleCrop>false</ScaleCrop>
  <LinksUpToDate>false</LinksUpToDate>
  <CharactersWithSpaces>2569</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2022-01-04T08:03:00Z</dcterms:created>
  <dc:creator>姜欣怡</dc:creator>
  <cp:lastModifiedBy>名字不重要</cp:lastModifiedBy>
  <cp:lastPrinted>2023-01-09T07:46:00Z</cp:lastPrinted>
  <dcterms:modified xsi:type="dcterms:W3CDTF">2023-05-15T09:48:24Z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D1BF29681440472BBE9A3FFB0AFE38D1</vt:lpwstr>
  </property>
</Properties>
</file>