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北京市东城区人民政府办公室</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2022年政府信息公开工作年度报告</w:t>
      </w:r>
      <w:bookmarkEnd w:id="0"/>
    </w:p>
    <w:p>
      <w:pPr>
        <w:pStyle w:val="2"/>
        <w:rPr>
          <w:rFonts w:hint="default" w:ascii="Times New Roman" w:hAnsi="Times New Roman" w:cs="Times New Roman"/>
        </w:rPr>
      </w:pP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依据《中华人民共和国政府信息公开条例》（以下简称《条例》）及《国务院办公厅政府信息与政务公开办公室关于政府信息公开工作年度报告有关事项的通知》等相关规定</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制作本报告。</w:t>
      </w:r>
    </w:p>
    <w:p>
      <w:pPr>
        <w:numPr>
          <w:ilvl w:val="0"/>
          <w:numId w:val="1"/>
        </w:numPr>
        <w:spacing w:line="56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总体情况</w:t>
      </w: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2022年，</w:t>
      </w:r>
      <w:r>
        <w:rPr>
          <w:rFonts w:hint="default" w:ascii="Times New Roman" w:hAnsi="Times New Roman" w:eastAsia="仿宋_GB2312" w:cs="Times New Roman"/>
          <w:color w:val="000000"/>
          <w:kern w:val="2"/>
          <w:sz w:val="32"/>
          <w:szCs w:val="32"/>
          <w:lang w:eastAsia="zh-CN"/>
        </w:rPr>
        <w:t>东城区政府办公室</w:t>
      </w:r>
      <w:r>
        <w:rPr>
          <w:rFonts w:hint="default" w:ascii="Times New Roman" w:hAnsi="Times New Roman" w:eastAsia="仿宋_GB2312" w:cs="Times New Roman"/>
          <w:color w:val="000000"/>
          <w:kern w:val="2"/>
          <w:sz w:val="32"/>
          <w:szCs w:val="32"/>
        </w:rPr>
        <w:t>坚持以习近平新时代中国特色社会主义思想为指导，全面贯彻党的十九大和党的二十大精神，深入贯彻学习习近平总书记重要讲话和重要指示批示精神，以《</w:t>
      </w:r>
      <w:r>
        <w:rPr>
          <w:rFonts w:hint="default" w:ascii="Times New Roman" w:hAnsi="Times New Roman" w:eastAsia="仿宋_GB2312" w:cs="Times New Roman"/>
          <w:color w:val="000000"/>
          <w:kern w:val="2"/>
          <w:sz w:val="32"/>
          <w:szCs w:val="32"/>
          <w:lang w:eastAsia="zh-CN"/>
        </w:rPr>
        <w:t>政府信息公开</w:t>
      </w:r>
      <w:r>
        <w:rPr>
          <w:rFonts w:hint="default" w:ascii="Times New Roman" w:hAnsi="Times New Roman" w:eastAsia="仿宋_GB2312" w:cs="Times New Roman"/>
          <w:color w:val="000000"/>
          <w:kern w:val="2"/>
          <w:sz w:val="32"/>
          <w:szCs w:val="32"/>
        </w:rPr>
        <w:t>条例》为工作指引，将</w:t>
      </w:r>
      <w:r>
        <w:rPr>
          <w:rFonts w:hint="default" w:ascii="Times New Roman" w:hAnsi="Times New Roman" w:eastAsia="仿宋_GB2312" w:cs="Times New Roman"/>
          <w:color w:val="000000"/>
          <w:kern w:val="2"/>
          <w:sz w:val="32"/>
          <w:szCs w:val="32"/>
          <w:lang w:eastAsia="zh-CN"/>
        </w:rPr>
        <w:t>政府信息公开和</w:t>
      </w:r>
      <w:r>
        <w:rPr>
          <w:rFonts w:hint="default" w:ascii="Times New Roman" w:hAnsi="Times New Roman" w:eastAsia="仿宋_GB2312" w:cs="Times New Roman"/>
          <w:color w:val="000000"/>
          <w:kern w:val="2"/>
          <w:sz w:val="32"/>
          <w:szCs w:val="32"/>
        </w:rPr>
        <w:t>政务公开纳入整体工作</w:t>
      </w:r>
      <w:r>
        <w:rPr>
          <w:rFonts w:hint="default" w:ascii="Times New Roman" w:hAnsi="Times New Roman" w:eastAsia="仿宋_GB2312" w:cs="Times New Roman"/>
          <w:color w:val="000000"/>
          <w:kern w:val="2"/>
          <w:sz w:val="32"/>
          <w:szCs w:val="32"/>
          <w:lang w:eastAsia="zh-CN"/>
        </w:rPr>
        <w:t>部署</w:t>
      </w:r>
      <w:r>
        <w:rPr>
          <w:rFonts w:hint="default" w:ascii="Times New Roman" w:hAnsi="Times New Roman" w:eastAsia="仿宋_GB2312" w:cs="Times New Roman"/>
          <w:color w:val="000000"/>
          <w:kern w:val="2"/>
          <w:sz w:val="32"/>
          <w:szCs w:val="32"/>
        </w:rPr>
        <w:t>，不断夯实政府信息主动公开、政府信息依申请公开、政府信息管理、政府信息公开平台建设</w:t>
      </w:r>
      <w:r>
        <w:rPr>
          <w:rFonts w:hint="default" w:ascii="Times New Roman" w:hAnsi="Times New Roman" w:eastAsia="仿宋_GB2312" w:cs="Times New Roman"/>
          <w:color w:val="000000"/>
          <w:kern w:val="2"/>
          <w:sz w:val="32"/>
          <w:szCs w:val="32"/>
          <w:lang w:eastAsia="zh-CN"/>
        </w:rPr>
        <w:t>、教育培训和监督保障</w:t>
      </w:r>
      <w:r>
        <w:rPr>
          <w:rFonts w:hint="default" w:ascii="Times New Roman" w:hAnsi="Times New Roman" w:eastAsia="仿宋_GB2312" w:cs="Times New Roman"/>
          <w:color w:val="000000"/>
          <w:kern w:val="2"/>
          <w:sz w:val="32"/>
          <w:szCs w:val="32"/>
        </w:rPr>
        <w:t>等工作基础，稳步提升政务公开</w:t>
      </w:r>
      <w:r>
        <w:rPr>
          <w:rFonts w:hint="default" w:ascii="Times New Roman" w:hAnsi="Times New Roman" w:eastAsia="仿宋_GB2312" w:cs="Times New Roman"/>
          <w:color w:val="000000"/>
          <w:kern w:val="2"/>
          <w:sz w:val="32"/>
          <w:szCs w:val="32"/>
          <w:lang w:eastAsia="zh-CN"/>
        </w:rPr>
        <w:t>工作水平</w:t>
      </w:r>
      <w:r>
        <w:rPr>
          <w:rFonts w:hint="default" w:ascii="Times New Roman" w:hAnsi="Times New Roman" w:eastAsia="仿宋_GB2312" w:cs="Times New Roman"/>
          <w:color w:val="000000"/>
          <w:kern w:val="2"/>
          <w:sz w:val="32"/>
          <w:szCs w:val="32"/>
        </w:rPr>
        <w:t>。</w:t>
      </w: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rPr>
        <w:t>（一）主动公开情况</w:t>
      </w:r>
      <w:r>
        <w:rPr>
          <w:rFonts w:hint="default" w:ascii="Times New Roman" w:hAnsi="Times New Roman" w:eastAsia="楷体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区政府办2022年全年</w:t>
      </w:r>
      <w:r>
        <w:rPr>
          <w:rFonts w:hint="default" w:ascii="Times New Roman" w:hAnsi="Times New Roman" w:eastAsia="仿宋_GB2312" w:cs="Times New Roman"/>
          <w:color w:val="000000"/>
          <w:kern w:val="2"/>
          <w:sz w:val="32"/>
          <w:szCs w:val="32"/>
          <w:lang w:eastAsia="zh-CN"/>
        </w:rPr>
        <w:t>在北京市东城区人民政府</w:t>
      </w:r>
      <w:r>
        <w:rPr>
          <w:rFonts w:hint="default" w:ascii="Times New Roman" w:hAnsi="Times New Roman" w:eastAsia="仿宋_GB2312" w:cs="Times New Roman"/>
          <w:color w:val="000000"/>
          <w:kern w:val="2"/>
          <w:sz w:val="32"/>
          <w:szCs w:val="32"/>
        </w:rPr>
        <w:t>网站主动公开政府信息</w:t>
      </w:r>
      <w:r>
        <w:rPr>
          <w:rFonts w:hint="default" w:ascii="Times New Roman" w:hAnsi="Times New Roman" w:eastAsia="仿宋_GB2312" w:cs="Times New Roman"/>
          <w:color w:val="000000"/>
          <w:kern w:val="2"/>
          <w:sz w:val="32"/>
          <w:szCs w:val="32"/>
          <w:lang w:eastAsia="zh-CN"/>
        </w:rPr>
        <w:t>共</w:t>
      </w:r>
      <w:r>
        <w:rPr>
          <w:rFonts w:hint="default" w:ascii="Times New Roman" w:hAnsi="Times New Roman" w:eastAsia="仿宋_GB2312" w:cs="Times New Roman"/>
          <w:color w:val="000000"/>
          <w:kern w:val="2"/>
          <w:sz w:val="32"/>
          <w:szCs w:val="32"/>
        </w:rPr>
        <w:t>81条。领导介绍类信息8条</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规范性文件15条</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财政预决算信息2条</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工作动态信息46条</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政策解读类信息3条</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年度工作计划实施进展情况6条</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机构设置类信息1条。</w:t>
      </w: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rPr>
        <w:t>（二）依申请公开</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rPr>
        <w:t>区政府办</w:t>
      </w:r>
      <w:r>
        <w:rPr>
          <w:rFonts w:hint="default" w:ascii="Times New Roman" w:hAnsi="Times New Roman" w:eastAsia="仿宋_GB2312" w:cs="Times New Roman"/>
          <w:color w:val="000000"/>
          <w:kern w:val="2"/>
          <w:sz w:val="32"/>
          <w:szCs w:val="32"/>
          <w:lang w:eastAsia="zh-CN"/>
        </w:rPr>
        <w:t>全年共受理政府信息公开申请</w:t>
      </w:r>
      <w:r>
        <w:rPr>
          <w:rFonts w:hint="default" w:ascii="Times New Roman" w:hAnsi="Times New Roman" w:eastAsia="仿宋_GB2312" w:cs="Times New Roman"/>
          <w:color w:val="000000"/>
          <w:kern w:val="2"/>
          <w:sz w:val="32"/>
          <w:szCs w:val="32"/>
          <w:lang w:val="en-US" w:eastAsia="zh-CN"/>
        </w:rPr>
        <w:t>0件。</w:t>
      </w: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rPr>
        <w:t>（三）政府信息管理情况。</w:t>
      </w:r>
      <w:r>
        <w:rPr>
          <w:rFonts w:hint="default" w:ascii="Times New Roman" w:hAnsi="Times New Roman" w:eastAsia="仿宋_GB2312" w:cs="Times New Roman"/>
          <w:b/>
          <w:bCs/>
          <w:color w:val="000000"/>
          <w:kern w:val="2"/>
          <w:sz w:val="32"/>
          <w:szCs w:val="32"/>
        </w:rPr>
        <w:t>一是</w:t>
      </w:r>
      <w:r>
        <w:rPr>
          <w:rFonts w:hint="default" w:ascii="Times New Roman" w:hAnsi="Times New Roman" w:eastAsia="仿宋_GB2312" w:cs="Times New Roman"/>
          <w:color w:val="000000"/>
          <w:kern w:val="2"/>
          <w:sz w:val="32"/>
          <w:szCs w:val="32"/>
          <w:lang w:eastAsia="zh-CN"/>
        </w:rPr>
        <w:t>按照</w:t>
      </w:r>
      <w:r>
        <w:rPr>
          <w:rFonts w:hint="default" w:ascii="Times New Roman" w:hAnsi="Times New Roman" w:eastAsia="仿宋_GB2312" w:cs="Times New Roman"/>
          <w:color w:val="000000"/>
          <w:kern w:val="2"/>
          <w:sz w:val="32"/>
          <w:szCs w:val="32"/>
        </w:rPr>
        <w:t>公开事项、公开内容、公开主体、公开时限、公开渠道、公开依据等要素</w:t>
      </w:r>
      <w:r>
        <w:rPr>
          <w:rFonts w:hint="default" w:ascii="Times New Roman" w:hAnsi="Times New Roman" w:eastAsia="仿宋_GB2312" w:cs="Times New Roman"/>
          <w:color w:val="000000"/>
          <w:kern w:val="2"/>
          <w:sz w:val="32"/>
          <w:szCs w:val="32"/>
          <w:lang w:eastAsia="zh-CN"/>
        </w:rPr>
        <w:t>做好政府信息公开工作</w:t>
      </w:r>
      <w:r>
        <w:rPr>
          <w:rFonts w:hint="default" w:ascii="Times New Roman" w:hAnsi="Times New Roman" w:eastAsia="仿宋_GB2312" w:cs="Times New Roman"/>
          <w:color w:val="000000"/>
          <w:kern w:val="2"/>
          <w:sz w:val="32"/>
          <w:szCs w:val="32"/>
        </w:rPr>
        <w:t>，不断提升政府信息公开工作标准化水平。</w:t>
      </w:r>
      <w:r>
        <w:rPr>
          <w:rFonts w:hint="default" w:ascii="Times New Roman" w:hAnsi="Times New Roman" w:eastAsia="仿宋_GB2312" w:cs="Times New Roman"/>
          <w:b/>
          <w:bCs/>
          <w:color w:val="000000"/>
          <w:kern w:val="2"/>
          <w:sz w:val="32"/>
          <w:szCs w:val="32"/>
        </w:rPr>
        <w:t>二是</w:t>
      </w:r>
      <w:r>
        <w:rPr>
          <w:rFonts w:hint="default" w:ascii="Times New Roman" w:hAnsi="Times New Roman" w:eastAsia="仿宋_GB2312" w:cs="Times New Roman"/>
          <w:color w:val="000000"/>
          <w:kern w:val="2"/>
          <w:sz w:val="32"/>
          <w:szCs w:val="32"/>
        </w:rPr>
        <w:t>严格落实公文公开属性源头认定制度，规范公文办文</w:t>
      </w:r>
      <w:r>
        <w:rPr>
          <w:rFonts w:hint="default" w:ascii="Times New Roman" w:hAnsi="Times New Roman" w:eastAsia="仿宋_GB2312" w:cs="Times New Roman"/>
          <w:color w:val="000000"/>
          <w:kern w:val="2"/>
          <w:sz w:val="32"/>
          <w:szCs w:val="32"/>
          <w:lang w:eastAsia="zh-CN"/>
        </w:rPr>
        <w:t>流程</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eastAsia="zh-CN"/>
        </w:rPr>
        <w:t>有序推动</w:t>
      </w:r>
      <w:r>
        <w:rPr>
          <w:rFonts w:hint="default" w:ascii="Times New Roman" w:hAnsi="Times New Roman" w:eastAsia="仿宋_GB2312" w:cs="Times New Roman"/>
          <w:color w:val="000000"/>
          <w:kern w:val="2"/>
          <w:sz w:val="32"/>
          <w:szCs w:val="32"/>
        </w:rPr>
        <w:t>政府信息公开</w:t>
      </w:r>
      <w:r>
        <w:rPr>
          <w:rFonts w:hint="default" w:ascii="Times New Roman" w:hAnsi="Times New Roman" w:eastAsia="仿宋_GB2312" w:cs="Times New Roman"/>
          <w:color w:val="000000"/>
          <w:kern w:val="2"/>
          <w:sz w:val="32"/>
          <w:szCs w:val="32"/>
          <w:lang w:eastAsia="zh-CN"/>
        </w:rPr>
        <w:t>程序</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b/>
          <w:bCs/>
          <w:color w:val="000000"/>
          <w:kern w:val="2"/>
          <w:sz w:val="32"/>
          <w:szCs w:val="32"/>
        </w:rPr>
        <w:t>三是</w:t>
      </w:r>
      <w:r>
        <w:rPr>
          <w:rFonts w:hint="default" w:ascii="Times New Roman" w:hAnsi="Times New Roman" w:eastAsia="仿宋_GB2312" w:cs="Times New Roman"/>
          <w:color w:val="000000"/>
          <w:kern w:val="2"/>
          <w:sz w:val="32"/>
          <w:szCs w:val="32"/>
          <w:lang w:eastAsia="zh-CN"/>
        </w:rPr>
        <w:t>按照</w:t>
      </w:r>
      <w:r>
        <w:rPr>
          <w:rFonts w:hint="default" w:ascii="Times New Roman" w:hAnsi="Times New Roman" w:eastAsia="仿宋_GB2312" w:cs="Times New Roman"/>
          <w:color w:val="000000"/>
          <w:kern w:val="2"/>
          <w:sz w:val="32"/>
          <w:szCs w:val="32"/>
        </w:rPr>
        <w:t>《保密法》《中华人民共和国网络安全法》</w:t>
      </w:r>
      <w:r>
        <w:rPr>
          <w:rFonts w:hint="default" w:ascii="Times New Roman" w:hAnsi="Times New Roman" w:eastAsia="仿宋_GB2312" w:cs="Times New Roman"/>
          <w:color w:val="000000"/>
          <w:kern w:val="2"/>
          <w:sz w:val="32"/>
          <w:szCs w:val="32"/>
          <w:lang w:eastAsia="zh-CN"/>
        </w:rPr>
        <w:t>等相关法律法规</w:t>
      </w:r>
      <w:r>
        <w:rPr>
          <w:rFonts w:hint="default" w:ascii="Times New Roman" w:hAnsi="Times New Roman" w:eastAsia="仿宋_GB2312" w:cs="Times New Roman"/>
          <w:color w:val="000000"/>
          <w:kern w:val="2"/>
          <w:sz w:val="32"/>
          <w:szCs w:val="32"/>
        </w:rPr>
        <w:t>，严格</w:t>
      </w:r>
      <w:r>
        <w:rPr>
          <w:rFonts w:hint="default" w:ascii="Times New Roman" w:hAnsi="Times New Roman" w:eastAsia="仿宋_GB2312" w:cs="Times New Roman"/>
          <w:color w:val="000000"/>
          <w:kern w:val="2"/>
          <w:sz w:val="32"/>
          <w:szCs w:val="32"/>
          <w:lang w:eastAsia="zh-CN"/>
        </w:rPr>
        <w:t>落实</w:t>
      </w:r>
      <w:r>
        <w:rPr>
          <w:rFonts w:hint="default" w:ascii="Times New Roman" w:hAnsi="Times New Roman" w:eastAsia="仿宋_GB2312" w:cs="Times New Roman"/>
          <w:color w:val="000000"/>
          <w:kern w:val="2"/>
          <w:sz w:val="32"/>
          <w:szCs w:val="32"/>
        </w:rPr>
        <w:t>保密审查机制，严禁涉密信息上网，</w:t>
      </w:r>
      <w:r>
        <w:rPr>
          <w:rFonts w:hint="default" w:ascii="Times New Roman" w:hAnsi="Times New Roman" w:eastAsia="仿宋_GB2312" w:cs="Times New Roman"/>
          <w:color w:val="000000"/>
          <w:kern w:val="2"/>
          <w:sz w:val="32"/>
          <w:szCs w:val="32"/>
          <w:lang w:eastAsia="zh-CN"/>
        </w:rPr>
        <w:t>确保</w:t>
      </w:r>
      <w:r>
        <w:rPr>
          <w:rFonts w:hint="default" w:ascii="Times New Roman" w:hAnsi="Times New Roman" w:eastAsia="仿宋_GB2312" w:cs="Times New Roman"/>
          <w:color w:val="000000"/>
          <w:kern w:val="2"/>
          <w:sz w:val="32"/>
          <w:szCs w:val="32"/>
        </w:rPr>
        <w:t>政府信息</w:t>
      </w:r>
      <w:r>
        <w:rPr>
          <w:rFonts w:hint="default" w:ascii="Times New Roman" w:hAnsi="Times New Roman" w:eastAsia="仿宋_GB2312" w:cs="Times New Roman"/>
          <w:color w:val="000000"/>
          <w:kern w:val="2"/>
          <w:sz w:val="32"/>
          <w:szCs w:val="32"/>
          <w:lang w:eastAsia="zh-CN"/>
        </w:rPr>
        <w:t>发布</w:t>
      </w:r>
      <w:r>
        <w:rPr>
          <w:rFonts w:hint="default" w:ascii="Times New Roman" w:hAnsi="Times New Roman" w:eastAsia="仿宋_GB2312" w:cs="Times New Roman"/>
          <w:color w:val="000000"/>
          <w:kern w:val="2"/>
          <w:sz w:val="32"/>
          <w:szCs w:val="32"/>
        </w:rPr>
        <w:t>安全。</w:t>
      </w: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rPr>
        <w:t>（四）政府信息公开平台建设。</w:t>
      </w:r>
      <w:r>
        <w:rPr>
          <w:rFonts w:hint="default" w:ascii="Times New Roman" w:hAnsi="Times New Roman" w:eastAsia="仿宋_GB2312" w:cs="Times New Roman"/>
          <w:color w:val="000000"/>
          <w:kern w:val="2"/>
          <w:sz w:val="32"/>
          <w:szCs w:val="32"/>
          <w:lang w:eastAsia="zh-CN"/>
        </w:rPr>
        <w:t>积极配合全区政府信息公开平台统筹建设要求，主动发布政府信息，</w:t>
      </w:r>
      <w:r>
        <w:rPr>
          <w:rFonts w:hint="default" w:ascii="Times New Roman" w:hAnsi="Times New Roman" w:eastAsia="仿宋_GB2312" w:cs="Times New Roman"/>
          <w:color w:val="000000"/>
          <w:kern w:val="2"/>
          <w:sz w:val="32"/>
          <w:szCs w:val="32"/>
        </w:rPr>
        <w:t>对</w:t>
      </w:r>
      <w:r>
        <w:rPr>
          <w:rFonts w:hint="default" w:ascii="Times New Roman" w:hAnsi="Times New Roman" w:eastAsia="仿宋_GB2312" w:cs="Times New Roman"/>
          <w:color w:val="000000"/>
          <w:kern w:val="2"/>
          <w:sz w:val="32"/>
          <w:szCs w:val="32"/>
          <w:lang w:eastAsia="zh-CN"/>
        </w:rPr>
        <w:t>我办涉及的</w:t>
      </w:r>
      <w:r>
        <w:rPr>
          <w:rFonts w:hint="default" w:ascii="Times New Roman" w:hAnsi="Times New Roman" w:eastAsia="仿宋_GB2312" w:cs="Times New Roman"/>
          <w:color w:val="000000"/>
          <w:kern w:val="2"/>
          <w:sz w:val="32"/>
          <w:szCs w:val="32"/>
        </w:rPr>
        <w:t>公开栏目不断进行</w:t>
      </w:r>
      <w:r>
        <w:rPr>
          <w:rFonts w:hint="default" w:ascii="Times New Roman" w:hAnsi="Times New Roman" w:eastAsia="仿宋_GB2312" w:cs="Times New Roman"/>
          <w:color w:val="000000"/>
          <w:kern w:val="2"/>
          <w:sz w:val="32"/>
          <w:szCs w:val="32"/>
          <w:lang w:eastAsia="zh-CN"/>
        </w:rPr>
        <w:t>充实</w:t>
      </w:r>
      <w:r>
        <w:rPr>
          <w:rFonts w:hint="default" w:ascii="Times New Roman" w:hAnsi="Times New Roman" w:eastAsia="仿宋_GB2312" w:cs="Times New Roman"/>
          <w:color w:val="000000"/>
          <w:kern w:val="2"/>
          <w:sz w:val="32"/>
          <w:szCs w:val="32"/>
        </w:rPr>
        <w:t>，定期维护栏目内容更新，</w:t>
      </w:r>
      <w:r>
        <w:rPr>
          <w:rFonts w:hint="default" w:ascii="Times New Roman" w:hAnsi="Times New Roman" w:eastAsia="仿宋_GB2312" w:cs="Times New Roman"/>
          <w:color w:val="000000"/>
          <w:kern w:val="2"/>
          <w:sz w:val="32"/>
          <w:szCs w:val="32"/>
          <w:lang w:eastAsia="zh-CN"/>
        </w:rPr>
        <w:t>提升政府信息发布质量和水平，切实</w:t>
      </w:r>
      <w:r>
        <w:rPr>
          <w:rFonts w:hint="default" w:ascii="Times New Roman" w:hAnsi="Times New Roman" w:eastAsia="仿宋_GB2312" w:cs="Times New Roman"/>
          <w:color w:val="000000"/>
          <w:kern w:val="2"/>
          <w:sz w:val="32"/>
          <w:szCs w:val="32"/>
        </w:rPr>
        <w:t>保障公民知情权与监督权。</w:t>
      </w:r>
    </w:p>
    <w:p>
      <w:pPr>
        <w:pStyle w:val="5"/>
        <w:widowControl/>
        <w:tabs>
          <w:tab w:val="left" w:pos="0"/>
        </w:tabs>
        <w:autoSpaceDE w:val="0"/>
        <w:spacing w:line="560" w:lineRule="exact"/>
        <w:ind w:firstLine="640" w:firstLineChars="200"/>
        <w:jc w:val="both"/>
        <w:rPr>
          <w:rFonts w:hint="default" w:ascii="Times New Roman" w:hAnsi="Times New Roman" w:eastAsia="黑体" w:cs="Times New Roman"/>
          <w:b/>
          <w:bCs/>
          <w:sz w:val="32"/>
          <w:szCs w:val="32"/>
        </w:rPr>
      </w:pPr>
      <w:r>
        <w:rPr>
          <w:rFonts w:hint="default" w:ascii="Times New Roman" w:hAnsi="Times New Roman" w:eastAsia="楷体_GB2312" w:cs="Times New Roman"/>
          <w:color w:val="000000"/>
          <w:kern w:val="2"/>
          <w:sz w:val="32"/>
          <w:szCs w:val="32"/>
        </w:rPr>
        <w:t>（五）</w:t>
      </w:r>
      <w:r>
        <w:rPr>
          <w:rFonts w:hint="default" w:ascii="Times New Roman" w:hAnsi="Times New Roman" w:eastAsia="楷体_GB2312" w:cs="Times New Roman"/>
          <w:color w:val="000000"/>
          <w:kern w:val="2"/>
          <w:sz w:val="32"/>
          <w:szCs w:val="32"/>
          <w:lang w:eastAsia="zh-CN"/>
        </w:rPr>
        <w:t>教育培训与</w:t>
      </w:r>
      <w:r>
        <w:rPr>
          <w:rFonts w:hint="default" w:ascii="Times New Roman" w:hAnsi="Times New Roman" w:eastAsia="楷体_GB2312" w:cs="Times New Roman"/>
          <w:color w:val="000000"/>
          <w:kern w:val="2"/>
          <w:sz w:val="32"/>
          <w:szCs w:val="32"/>
        </w:rPr>
        <w:t>监督保障。</w:t>
      </w:r>
      <w:r>
        <w:rPr>
          <w:rFonts w:hint="default" w:ascii="Times New Roman" w:hAnsi="Times New Roman" w:eastAsia="仿宋_GB2312" w:cs="Times New Roman"/>
          <w:color w:val="000000"/>
          <w:kern w:val="2"/>
          <w:sz w:val="32"/>
          <w:szCs w:val="32"/>
          <w:lang w:eastAsia="zh-CN"/>
        </w:rPr>
        <w:t>认真参加全区政务公开领导小组组织开展的业务培训，提升依申请公开办理工作水平，加强对深化政务公开促进政策服务的认识，</w:t>
      </w:r>
      <w:r>
        <w:rPr>
          <w:rFonts w:hint="default" w:ascii="Times New Roman" w:hAnsi="Times New Roman" w:eastAsia="仿宋_GB2312" w:cs="Times New Roman"/>
          <w:color w:val="000000"/>
          <w:kern w:val="2"/>
          <w:sz w:val="32"/>
          <w:szCs w:val="32"/>
        </w:rPr>
        <w:t>确保政务公开工作取得实效。日常</w:t>
      </w:r>
      <w:r>
        <w:rPr>
          <w:rFonts w:hint="default" w:ascii="Times New Roman" w:hAnsi="Times New Roman" w:eastAsia="仿宋_GB2312" w:cs="Times New Roman"/>
          <w:color w:val="000000"/>
          <w:kern w:val="2"/>
          <w:sz w:val="32"/>
          <w:szCs w:val="32"/>
          <w:lang w:eastAsia="zh-CN"/>
        </w:rPr>
        <w:t>开展业务学习与自查整改工作，认真梳理政府信息公开工作中存在的问题，配合统筹部门</w:t>
      </w:r>
      <w:r>
        <w:rPr>
          <w:rFonts w:hint="default" w:ascii="Times New Roman" w:hAnsi="Times New Roman" w:eastAsia="仿宋_GB2312" w:cs="Times New Roman"/>
          <w:color w:val="000000"/>
          <w:kern w:val="2"/>
          <w:sz w:val="32"/>
          <w:szCs w:val="32"/>
        </w:rPr>
        <w:t>做好</w:t>
      </w:r>
      <w:r>
        <w:rPr>
          <w:rFonts w:hint="default" w:ascii="Times New Roman" w:hAnsi="Times New Roman" w:eastAsia="仿宋_GB2312" w:cs="Times New Roman"/>
          <w:color w:val="000000"/>
          <w:kern w:val="2"/>
          <w:sz w:val="32"/>
          <w:szCs w:val="32"/>
          <w:lang w:eastAsia="zh-CN"/>
        </w:rPr>
        <w:t>政务公开</w:t>
      </w:r>
      <w:r>
        <w:rPr>
          <w:rFonts w:hint="eastAsia" w:ascii="Times New Roman" w:hAnsi="Times New Roman" w:eastAsia="仿宋_GB2312" w:cs="Times New Roman"/>
          <w:color w:val="000000"/>
          <w:kern w:val="2"/>
          <w:sz w:val="32"/>
          <w:szCs w:val="32"/>
          <w:lang w:eastAsia="zh-CN"/>
        </w:rPr>
        <w:t>督查整改</w:t>
      </w:r>
      <w:r>
        <w:rPr>
          <w:rFonts w:hint="default" w:ascii="Times New Roman" w:hAnsi="Times New Roman" w:eastAsia="仿宋_GB2312" w:cs="Times New Roman"/>
          <w:color w:val="000000"/>
          <w:kern w:val="2"/>
          <w:sz w:val="32"/>
          <w:szCs w:val="32"/>
        </w:rPr>
        <w:t>工作。</w:t>
      </w:r>
    </w:p>
    <w:p>
      <w:pPr>
        <w:pStyle w:val="2"/>
        <w:ind w:firstLine="630" w:firstLineChars="196"/>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二、主动公开政府信息情况</w:t>
      </w:r>
    </w:p>
    <w:tbl>
      <w:tblPr>
        <w:tblStyle w:val="11"/>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现行有效件</w:t>
            </w:r>
            <w:r>
              <w:rPr>
                <w:rFonts w:hint="default" w:ascii="Times New Roman" w:hAnsi="Times New Roman" w:cs="Times New Roman"/>
                <w:kern w:val="0"/>
                <w:sz w:val="20"/>
                <w:szCs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20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Cs w:val="21"/>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spacing w:line="560" w:lineRule="exact"/>
        <w:ind w:firstLine="630" w:firstLineChars="196"/>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三、收到和处理政府信息公开申请情况</w:t>
      </w: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eastAsia="楷体" w:cs="Times New Roman"/>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spacing w:line="560" w:lineRule="exact"/>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商业</w:t>
            </w:r>
          </w:p>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科研</w:t>
            </w:r>
          </w:p>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spacing w:line="560" w:lineRule="exact"/>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（二）部分公开</w:t>
            </w:r>
            <w:r>
              <w:rPr>
                <w:rFonts w:hint="default" w:ascii="Times New Roman" w:hAnsi="Times New Roman" w:eastAsia="楷体" w:cs="Times New Roman"/>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rPr>
                <w:rFonts w:hint="default" w:ascii="Times New Roman" w:hAnsi="Times New Roman" w:cs="Times New Roman"/>
              </w:rPr>
            </w:pPr>
            <w:r>
              <w:rPr>
                <w:rFonts w:hint="default" w:ascii="Times New Roman" w:hAnsi="Times New Roman" w:cs="Times New Roman"/>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rPr>
                <w:rFonts w:hint="default" w:ascii="Times New Roman" w:hAnsi="Times New Roman" w:cs="Times New Roman"/>
              </w:rPr>
            </w:pPr>
            <w:r>
              <w:rPr>
                <w:rFonts w:hint="default" w:ascii="Times New Roman" w:hAnsi="Times New Roman" w:cs="Times New Roman"/>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rPr>
                <w:rFonts w:hint="default" w:ascii="Times New Roman" w:hAnsi="Times New Roman" w:cs="Times New Roman"/>
              </w:rPr>
            </w:pPr>
            <w:r>
              <w:rPr>
                <w:rFonts w:hint="default" w:ascii="Times New Roman" w:hAnsi="Times New Roman" w:cs="Times New Roman"/>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line="560" w:lineRule="exact"/>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r>
              <w:rPr>
                <w:rFonts w:hint="default" w:ascii="Times New Roman" w:hAnsi="Times New Roman" w:cs="Times New Roman"/>
                <w:kern w:val="0"/>
                <w:sz w:val="20"/>
                <w:szCs w:val="20"/>
              </w:rPr>
              <w:t> </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0"/>
                <w:szCs w:val="20"/>
              </w:rPr>
              <w:t>  </w:t>
            </w:r>
            <w:r>
              <w:rPr>
                <w:rFonts w:hint="default" w:ascii="Times New Roman" w:hAnsi="Times New Roman" w:cs="Times New Roman"/>
                <w:kern w:val="0"/>
                <w:sz w:val="20"/>
                <w:szCs w:val="20"/>
              </w:rPr>
              <w:t>0</w:t>
            </w:r>
          </w:p>
        </w:tc>
        <w:tc>
          <w:tcPr>
            <w:tcW w:w="689" w:type="dxa"/>
            <w:tcBorders>
              <w:top w:val="outset" w:color="auto" w:sz="6" w:space="0"/>
              <w:left w:val="nil"/>
              <w:bottom w:val="outset" w:color="auto" w:sz="6" w:space="0"/>
              <w:right w:val="outset" w:color="auto" w:sz="6" w:space="0"/>
            </w:tcBorders>
            <w:vAlign w:val="top"/>
          </w:tcPr>
          <w:p>
            <w:pPr>
              <w:pStyle w:val="12"/>
              <w:widowControl/>
              <w:numPr>
                <w:ilvl w:val="0"/>
                <w:numId w:val="2"/>
              </w:numPr>
              <w:spacing w:line="560" w:lineRule="exact"/>
              <w:ind w:firstLineChars="0"/>
              <w:jc w:val="center"/>
              <w:rPr>
                <w:rFonts w:hint="default" w:ascii="Times New Roman" w:hAnsi="Times New Roman" w:cs="Times New Roman"/>
                <w:sz w:val="24"/>
                <w:szCs w:val="24"/>
              </w:rPr>
            </w:pPr>
          </w:p>
        </w:tc>
      </w:tr>
    </w:tbl>
    <w:p>
      <w:pPr>
        <w:spacing w:line="560" w:lineRule="exact"/>
        <w:ind w:firstLine="630" w:firstLineChars="196"/>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四、政府信息公开行政复议、行政诉讼情况</w:t>
      </w: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其他</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尚未</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其他</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尚未</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其他</w:t>
            </w:r>
            <w:r>
              <w:rPr>
                <w:rFonts w:hint="default" w:ascii="Times New Roman" w:hAnsi="Times New Roman" w:cs="Times New Roman"/>
                <w:color w:val="000000"/>
                <w:kern w:val="0"/>
                <w:sz w:val="20"/>
                <w:szCs w:val="20"/>
              </w:rPr>
              <w:br/>
            </w:r>
            <w:r>
              <w:rPr>
                <w:rFonts w:hint="default" w:ascii="Times New Roman" w:hAnsi="Times New Roman" w:cs="Times New Roman"/>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kern w:val="0"/>
                <w:sz w:val="20"/>
                <w:szCs w:val="20"/>
              </w:rPr>
              <w:t>尚未</w:t>
            </w:r>
            <w:r>
              <w:rPr>
                <w:rFonts w:hint="default" w:ascii="Times New Roman" w:hAnsi="Times New Roman" w:cs="Times New Roman"/>
                <w:kern w:val="0"/>
                <w:sz w:val="20"/>
                <w:szCs w:val="20"/>
              </w:rPr>
              <w:br/>
            </w:r>
            <w:r>
              <w:rPr>
                <w:rFonts w:hint="default" w:ascii="Times New Roman" w:hAnsi="Times New Roman" w:cs="Times New Roman"/>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default" w:ascii="Times New Roman" w:hAnsi="Times New Roman" w:cs="Times New Roman"/>
              </w:rPr>
            </w:pPr>
            <w:r>
              <w:rPr>
                <w:rFonts w:hint="default" w:ascii="Times New Roman" w:hAnsi="Times New Roman" w:eastAsia="黑体" w:cs="Times New Roman"/>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spacing w:line="560" w:lineRule="exact"/>
        <w:ind w:left="420" w:leftChars="200" w:firstLine="321" w:firstLineChars="100"/>
        <w:rPr>
          <w:rFonts w:hint="default" w:ascii="Times New Roman" w:hAnsi="Times New Roman" w:cs="Times New Roman"/>
        </w:rPr>
      </w:pPr>
      <w:r>
        <w:rPr>
          <w:rFonts w:hint="default" w:ascii="Times New Roman" w:hAnsi="Times New Roman" w:eastAsia="黑体" w:cs="Times New Roman"/>
          <w:b/>
          <w:bCs/>
          <w:sz w:val="32"/>
          <w:szCs w:val="32"/>
        </w:rPr>
        <w:t>五、存在的主要问题及改进情况</w:t>
      </w:r>
    </w:p>
    <w:p>
      <w:pPr>
        <w:pStyle w:val="5"/>
        <w:widowControl/>
        <w:tabs>
          <w:tab w:val="left" w:pos="0"/>
        </w:tabs>
        <w:autoSpaceDE w:val="0"/>
        <w:spacing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eastAsia="zh-CN"/>
        </w:rPr>
        <w:t>存在问题：</w:t>
      </w:r>
      <w:r>
        <w:rPr>
          <w:rFonts w:hint="default" w:ascii="Times New Roman" w:hAnsi="Times New Roman" w:eastAsia="仿宋_GB2312" w:cs="Times New Roman"/>
          <w:color w:val="000000"/>
          <w:kern w:val="2"/>
          <w:sz w:val="32"/>
          <w:szCs w:val="32"/>
        </w:rPr>
        <w:t>一是</w:t>
      </w:r>
      <w:r>
        <w:rPr>
          <w:rFonts w:hint="default" w:ascii="Times New Roman" w:hAnsi="Times New Roman" w:eastAsia="仿宋_GB2312" w:cs="Times New Roman"/>
          <w:color w:val="000000"/>
          <w:kern w:val="2"/>
          <w:sz w:val="32"/>
          <w:szCs w:val="32"/>
          <w:lang w:eastAsia="zh-CN"/>
        </w:rPr>
        <w:t>政府</w:t>
      </w:r>
      <w:r>
        <w:rPr>
          <w:rFonts w:hint="default" w:ascii="Times New Roman" w:hAnsi="Times New Roman" w:eastAsia="仿宋_GB2312" w:cs="Times New Roman"/>
          <w:color w:val="000000"/>
          <w:kern w:val="2"/>
          <w:sz w:val="32"/>
          <w:szCs w:val="32"/>
        </w:rPr>
        <w:t>信息公开的时效性、</w:t>
      </w:r>
      <w:r>
        <w:rPr>
          <w:rFonts w:hint="default" w:ascii="Times New Roman" w:hAnsi="Times New Roman" w:eastAsia="仿宋_GB2312" w:cs="Times New Roman"/>
          <w:color w:val="000000"/>
          <w:kern w:val="2"/>
          <w:sz w:val="32"/>
          <w:szCs w:val="32"/>
          <w:lang w:eastAsia="zh-CN"/>
        </w:rPr>
        <w:t>主动性</w:t>
      </w:r>
      <w:r>
        <w:rPr>
          <w:rFonts w:hint="default" w:ascii="Times New Roman" w:hAnsi="Times New Roman" w:eastAsia="仿宋_GB2312" w:cs="Times New Roman"/>
          <w:color w:val="000000"/>
          <w:kern w:val="2"/>
          <w:sz w:val="32"/>
          <w:szCs w:val="32"/>
        </w:rPr>
        <w:t>和</w:t>
      </w:r>
      <w:r>
        <w:rPr>
          <w:rFonts w:hint="default" w:ascii="Times New Roman" w:hAnsi="Times New Roman" w:eastAsia="仿宋_GB2312" w:cs="Times New Roman"/>
          <w:color w:val="000000"/>
          <w:kern w:val="2"/>
          <w:sz w:val="32"/>
          <w:szCs w:val="32"/>
          <w:lang w:eastAsia="zh-CN"/>
        </w:rPr>
        <w:t>多样性</w:t>
      </w:r>
      <w:r>
        <w:rPr>
          <w:rFonts w:hint="default" w:ascii="Times New Roman" w:hAnsi="Times New Roman" w:eastAsia="仿宋_GB2312" w:cs="Times New Roman"/>
          <w:color w:val="000000"/>
          <w:kern w:val="2"/>
          <w:sz w:val="32"/>
          <w:szCs w:val="32"/>
        </w:rPr>
        <w:t>还有所欠缺。</w:t>
      </w:r>
      <w:r>
        <w:rPr>
          <w:rFonts w:hint="default" w:ascii="Times New Roman" w:hAnsi="Times New Roman" w:eastAsia="仿宋_GB2312" w:cs="Times New Roman"/>
          <w:color w:val="000000"/>
          <w:kern w:val="2"/>
          <w:sz w:val="32"/>
          <w:szCs w:val="32"/>
          <w:lang w:eastAsia="zh-CN"/>
        </w:rPr>
        <w:t>二是利用</w:t>
      </w:r>
      <w:r>
        <w:rPr>
          <w:rFonts w:hint="default" w:ascii="Times New Roman" w:hAnsi="Times New Roman" w:eastAsia="仿宋_GB2312" w:cs="Times New Roman"/>
          <w:color w:val="000000"/>
          <w:kern w:val="2"/>
          <w:sz w:val="32"/>
          <w:szCs w:val="32"/>
        </w:rPr>
        <w:t>政务新媒体平台推送政府信息公开工作力度</w:t>
      </w:r>
      <w:r>
        <w:rPr>
          <w:rFonts w:hint="default" w:ascii="Times New Roman" w:hAnsi="Times New Roman" w:eastAsia="仿宋_GB2312" w:cs="Times New Roman"/>
          <w:color w:val="000000"/>
          <w:kern w:val="2"/>
          <w:sz w:val="32"/>
          <w:szCs w:val="32"/>
          <w:lang w:eastAsia="zh-CN"/>
        </w:rPr>
        <w:t>有待提升</w:t>
      </w:r>
      <w:r>
        <w:rPr>
          <w:rFonts w:hint="default" w:ascii="Times New Roman" w:hAnsi="Times New Roman" w:eastAsia="仿宋_GB2312" w:cs="Times New Roman"/>
          <w:color w:val="000000"/>
          <w:kern w:val="2"/>
          <w:sz w:val="32"/>
          <w:szCs w:val="32"/>
        </w:rPr>
        <w:t>，政务信息</w:t>
      </w:r>
      <w:r>
        <w:rPr>
          <w:rFonts w:hint="default" w:ascii="Times New Roman" w:hAnsi="Times New Roman" w:eastAsia="仿宋_GB2312" w:cs="Times New Roman"/>
          <w:color w:val="000000"/>
          <w:kern w:val="2"/>
          <w:sz w:val="32"/>
          <w:szCs w:val="32"/>
          <w:lang w:eastAsia="zh-CN"/>
        </w:rPr>
        <w:t>发布量较小</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eastAsia="zh-CN"/>
        </w:rPr>
        <w:t>三是工作人员的重视程度、业务水平、专业化程度还有待加强。</w:t>
      </w:r>
    </w:p>
    <w:p>
      <w:pPr>
        <w:pStyle w:val="5"/>
        <w:widowControl/>
        <w:tabs>
          <w:tab w:val="left" w:pos="0"/>
        </w:tabs>
        <w:autoSpaceDE w:val="0"/>
        <w:spacing w:line="560" w:lineRule="exact"/>
        <w:ind w:firstLine="640" w:firstLineChars="200"/>
        <w:jc w:val="both"/>
        <w:rPr>
          <w:rFonts w:hint="default" w:ascii="Times New Roman" w:hAnsi="Times New Roman" w:eastAsia="黑体" w:cs="Times New Roman"/>
          <w:b/>
          <w:bCs/>
          <w:sz w:val="32"/>
          <w:szCs w:val="32"/>
        </w:rPr>
      </w:pPr>
      <w:r>
        <w:rPr>
          <w:rFonts w:hint="default" w:ascii="Times New Roman" w:hAnsi="Times New Roman" w:eastAsia="仿宋_GB2312" w:cs="Times New Roman"/>
          <w:color w:val="000000"/>
          <w:kern w:val="2"/>
          <w:sz w:val="32"/>
          <w:szCs w:val="32"/>
        </w:rPr>
        <w:t>2023年，区政府办的政府信息公开工作将从以下几个方面努力提升：</w:t>
      </w:r>
      <w:r>
        <w:rPr>
          <w:rFonts w:hint="default" w:ascii="Times New Roman" w:hAnsi="Times New Roman" w:eastAsia="仿宋_GB2312" w:cs="Times New Roman"/>
          <w:b/>
          <w:bCs/>
          <w:color w:val="000000"/>
          <w:kern w:val="2"/>
          <w:sz w:val="32"/>
          <w:szCs w:val="32"/>
        </w:rPr>
        <w:t>一是</w:t>
      </w:r>
      <w:r>
        <w:rPr>
          <w:rFonts w:hint="default" w:ascii="Times New Roman" w:hAnsi="Times New Roman" w:eastAsia="仿宋_GB2312" w:cs="Times New Roman"/>
          <w:color w:val="000000"/>
          <w:kern w:val="2"/>
          <w:sz w:val="32"/>
          <w:szCs w:val="32"/>
        </w:rPr>
        <w:t>压实工作责任</w:t>
      </w:r>
      <w:r>
        <w:rPr>
          <w:rFonts w:hint="default" w:ascii="Times New Roman" w:hAnsi="Times New Roman" w:eastAsia="仿宋_GB2312" w:cs="Times New Roman"/>
          <w:color w:val="000000"/>
          <w:kern w:val="2"/>
          <w:sz w:val="32"/>
          <w:szCs w:val="32"/>
          <w:lang w:eastAsia="zh-CN"/>
        </w:rPr>
        <w:t>，提高工作效率。进一步加强</w:t>
      </w:r>
      <w:r>
        <w:rPr>
          <w:rFonts w:hint="default" w:ascii="Times New Roman" w:hAnsi="Times New Roman" w:eastAsia="仿宋_GB2312" w:cs="Times New Roman"/>
          <w:color w:val="000000"/>
          <w:kern w:val="2"/>
          <w:sz w:val="32"/>
          <w:szCs w:val="32"/>
        </w:rPr>
        <w:t>区政府办</w:t>
      </w:r>
      <w:r>
        <w:rPr>
          <w:rFonts w:hint="default" w:ascii="Times New Roman" w:hAnsi="Times New Roman" w:eastAsia="仿宋_GB2312" w:cs="Times New Roman"/>
          <w:color w:val="000000"/>
          <w:kern w:val="2"/>
          <w:sz w:val="32"/>
          <w:szCs w:val="32"/>
          <w:lang w:eastAsia="zh-CN"/>
        </w:rPr>
        <w:t>主动公开的工作力度。</w:t>
      </w:r>
      <w:r>
        <w:rPr>
          <w:rFonts w:hint="default" w:ascii="Times New Roman" w:hAnsi="Times New Roman" w:eastAsia="仿宋_GB2312" w:cs="Times New Roman"/>
          <w:b/>
          <w:bCs/>
          <w:color w:val="000000"/>
          <w:kern w:val="2"/>
          <w:sz w:val="32"/>
          <w:szCs w:val="32"/>
          <w:lang w:eastAsia="zh-CN"/>
        </w:rPr>
        <w:t>二是</w:t>
      </w:r>
      <w:r>
        <w:rPr>
          <w:rFonts w:hint="default" w:ascii="Times New Roman" w:hAnsi="Times New Roman" w:eastAsia="仿宋_GB2312" w:cs="Times New Roman"/>
          <w:color w:val="000000"/>
          <w:kern w:val="2"/>
          <w:sz w:val="32"/>
          <w:szCs w:val="32"/>
          <w:lang w:eastAsia="zh-CN"/>
        </w:rPr>
        <w:t>创新工作方法，积极与区级各政务新媒体加强沟通，拓宽</w:t>
      </w:r>
      <w:r>
        <w:rPr>
          <w:rFonts w:hint="default" w:ascii="Times New Roman" w:hAnsi="Times New Roman" w:eastAsia="仿宋_GB2312" w:cs="Times New Roman"/>
          <w:color w:val="000000"/>
          <w:kern w:val="2"/>
          <w:sz w:val="32"/>
          <w:szCs w:val="32"/>
        </w:rPr>
        <w:t>区政府办</w:t>
      </w:r>
      <w:r>
        <w:rPr>
          <w:rFonts w:hint="default" w:ascii="Times New Roman" w:hAnsi="Times New Roman" w:eastAsia="仿宋_GB2312" w:cs="Times New Roman"/>
          <w:color w:val="000000"/>
          <w:kern w:val="2"/>
          <w:sz w:val="32"/>
          <w:szCs w:val="32"/>
          <w:lang w:eastAsia="zh-CN"/>
        </w:rPr>
        <w:t>政府信息发布渠道，增强群众对政府信息的感知度。三是提高思想认识，加强对政府信息公开和政务公开工作的重视程度，严格工作标准，强化业务水平，提升专业能力。</w:t>
      </w:r>
    </w:p>
    <w:p>
      <w:pPr>
        <w:spacing w:line="560" w:lineRule="exact"/>
        <w:ind w:left="420" w:leftChars="200" w:firstLine="157" w:firstLineChars="4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六、其他需要报告的事项</w:t>
      </w:r>
    </w:p>
    <w:p>
      <w:pPr>
        <w:widowControl/>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本年度未收取政府信息处理费。本年报中所列数据的统计期限自2022年1月1日起至2022年12月31日止。</w:t>
      </w:r>
    </w:p>
    <w:p>
      <w:pPr>
        <w:widowControl/>
        <w:wordWrap w:val="0"/>
        <w:adjustRightInd/>
        <w:snapToGrid/>
        <w:spacing w:line="560" w:lineRule="exact"/>
        <w:ind w:left="0" w:leftChars="0" w:right="0" w:firstLine="672" w:firstLineChars="0"/>
        <w:jc w:val="left"/>
        <w:textAlignment w:val="auto"/>
        <w:outlineLvl w:val="9"/>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北京市东城区人民政府门户网站</w:t>
      </w:r>
      <w:r>
        <w:rPr>
          <w:rFonts w:hint="default" w:ascii="Times New Roman" w:hAnsi="Times New Roman" w:eastAsia="仿宋_GB2312" w:cs="Times New Roman"/>
          <w:spacing w:val="8"/>
          <w:kern w:val="0"/>
          <w:sz w:val="32"/>
          <w:szCs w:val="32"/>
          <w:lang w:eastAsia="zh-CN"/>
        </w:rPr>
        <w:t>，</w:t>
      </w:r>
      <w:r>
        <w:rPr>
          <w:rFonts w:hint="default" w:ascii="Times New Roman" w:hAnsi="Times New Roman" w:eastAsia="仿宋_GB2312" w:cs="Times New Roman"/>
          <w:spacing w:val="8"/>
          <w:kern w:val="0"/>
          <w:sz w:val="32"/>
          <w:szCs w:val="32"/>
        </w:rPr>
        <w:t>网址为http://www.bjdch.gov.cn/，如需了解更多政府信息，请登录查询。</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7385040">
    <w:nsid w:val="695827D0"/>
    <w:multiLevelType w:val="multilevel"/>
    <w:tmpl w:val="695827D0"/>
    <w:lvl w:ilvl="0" w:tentative="1">
      <w:start w:val="0"/>
      <w:numFmt w:val="decimal"/>
      <w:lvlText w:val="%1"/>
      <w:lvlJc w:val="left"/>
      <w:pPr>
        <w:ind w:left="405" w:hanging="360"/>
      </w:pPr>
      <w:rPr>
        <w:rFonts w:hint="default" w:ascii="Calibri" w:cs="Calibri"/>
        <w:sz w:val="20"/>
      </w:rPr>
    </w:lvl>
    <w:lvl w:ilvl="1" w:tentative="1">
      <w:start w:val="1"/>
      <w:numFmt w:val="lowerLetter"/>
      <w:lvlText w:val="%2)"/>
      <w:lvlJc w:val="left"/>
      <w:pPr>
        <w:ind w:left="885" w:hanging="420"/>
      </w:pPr>
    </w:lvl>
    <w:lvl w:ilvl="2" w:tentative="1">
      <w:start w:val="1"/>
      <w:numFmt w:val="lowerRoman"/>
      <w:lvlText w:val="%3."/>
      <w:lvlJc w:val="right"/>
      <w:pPr>
        <w:ind w:left="1305" w:hanging="420"/>
      </w:pPr>
    </w:lvl>
    <w:lvl w:ilvl="3" w:tentative="1">
      <w:start w:val="1"/>
      <w:numFmt w:val="decimal"/>
      <w:lvlText w:val="%4."/>
      <w:lvlJc w:val="left"/>
      <w:pPr>
        <w:ind w:left="1725" w:hanging="420"/>
      </w:pPr>
    </w:lvl>
    <w:lvl w:ilvl="4" w:tentative="1">
      <w:start w:val="1"/>
      <w:numFmt w:val="lowerLetter"/>
      <w:lvlText w:val="%5)"/>
      <w:lvlJc w:val="left"/>
      <w:pPr>
        <w:ind w:left="2145" w:hanging="420"/>
      </w:pPr>
    </w:lvl>
    <w:lvl w:ilvl="5" w:tentative="1">
      <w:start w:val="1"/>
      <w:numFmt w:val="lowerRoman"/>
      <w:lvlText w:val="%6."/>
      <w:lvlJc w:val="right"/>
      <w:pPr>
        <w:ind w:left="2565" w:hanging="420"/>
      </w:pPr>
    </w:lvl>
    <w:lvl w:ilvl="6" w:tentative="1">
      <w:start w:val="1"/>
      <w:numFmt w:val="decimal"/>
      <w:lvlText w:val="%7."/>
      <w:lvlJc w:val="left"/>
      <w:pPr>
        <w:ind w:left="2985" w:hanging="420"/>
      </w:pPr>
    </w:lvl>
    <w:lvl w:ilvl="7" w:tentative="1">
      <w:start w:val="1"/>
      <w:numFmt w:val="lowerLetter"/>
      <w:lvlText w:val="%8)"/>
      <w:lvlJc w:val="left"/>
      <w:pPr>
        <w:ind w:left="3405" w:hanging="420"/>
      </w:pPr>
    </w:lvl>
    <w:lvl w:ilvl="8" w:tentative="1">
      <w:start w:val="1"/>
      <w:numFmt w:val="lowerRoman"/>
      <w:lvlText w:val="%9."/>
      <w:lvlJc w:val="right"/>
      <w:pPr>
        <w:ind w:left="3825" w:hanging="420"/>
      </w:pPr>
    </w:lvl>
  </w:abstractNum>
  <w:abstractNum w:abstractNumId="1641958202">
    <w:nsid w:val="61DE4B3A"/>
    <w:multiLevelType w:val="singleLevel"/>
    <w:tmpl w:val="61DE4B3A"/>
    <w:lvl w:ilvl="0" w:tentative="1">
      <w:start w:val="1"/>
      <w:numFmt w:val="chineseCounting"/>
      <w:suff w:val="nothing"/>
      <w:lvlText w:val="%1、"/>
      <w:lvlJc w:val="left"/>
    </w:lvl>
  </w:abstractNum>
  <w:num w:numId="1">
    <w:abstractNumId w:val="1641958202"/>
  </w:num>
  <w:num w:numId="2">
    <w:abstractNumId w:val="17673850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A1936"/>
    <w:rsid w:val="00132AC7"/>
    <w:rsid w:val="001556EB"/>
    <w:rsid w:val="00172A27"/>
    <w:rsid w:val="0019743C"/>
    <w:rsid w:val="001A5533"/>
    <w:rsid w:val="001A61DD"/>
    <w:rsid w:val="001B32F7"/>
    <w:rsid w:val="001B6B2E"/>
    <w:rsid w:val="001D61C5"/>
    <w:rsid w:val="00206AAD"/>
    <w:rsid w:val="00237E02"/>
    <w:rsid w:val="00257BB6"/>
    <w:rsid w:val="00294D71"/>
    <w:rsid w:val="002C6AF5"/>
    <w:rsid w:val="002F2C6A"/>
    <w:rsid w:val="00355857"/>
    <w:rsid w:val="00386682"/>
    <w:rsid w:val="003B75F0"/>
    <w:rsid w:val="003D7664"/>
    <w:rsid w:val="00406ADF"/>
    <w:rsid w:val="00475DF6"/>
    <w:rsid w:val="004B15A2"/>
    <w:rsid w:val="004D0DAE"/>
    <w:rsid w:val="004F4478"/>
    <w:rsid w:val="00542C13"/>
    <w:rsid w:val="005971BA"/>
    <w:rsid w:val="005B565E"/>
    <w:rsid w:val="005E7F83"/>
    <w:rsid w:val="005F723F"/>
    <w:rsid w:val="00605778"/>
    <w:rsid w:val="007B7C12"/>
    <w:rsid w:val="007C1E95"/>
    <w:rsid w:val="007C2468"/>
    <w:rsid w:val="008013C9"/>
    <w:rsid w:val="0084710E"/>
    <w:rsid w:val="0086725D"/>
    <w:rsid w:val="00885BD4"/>
    <w:rsid w:val="008E60F0"/>
    <w:rsid w:val="008F75AE"/>
    <w:rsid w:val="00982FD7"/>
    <w:rsid w:val="009B1C93"/>
    <w:rsid w:val="00A64887"/>
    <w:rsid w:val="00AD48D0"/>
    <w:rsid w:val="00AD5E11"/>
    <w:rsid w:val="00AF66FC"/>
    <w:rsid w:val="00C31C93"/>
    <w:rsid w:val="00CB65E3"/>
    <w:rsid w:val="00D33933"/>
    <w:rsid w:val="00D33FD7"/>
    <w:rsid w:val="00DB1840"/>
    <w:rsid w:val="00E51D79"/>
    <w:rsid w:val="00E65168"/>
    <w:rsid w:val="00E76318"/>
    <w:rsid w:val="00EE5DA2"/>
    <w:rsid w:val="00EE7A58"/>
    <w:rsid w:val="00F47C85"/>
    <w:rsid w:val="00F67F86"/>
    <w:rsid w:val="00F96AC7"/>
    <w:rsid w:val="00FB721E"/>
    <w:rsid w:val="00FD1248"/>
    <w:rsid w:val="00FE332C"/>
    <w:rsid w:val="026D0BB5"/>
    <w:rsid w:val="048F50C1"/>
    <w:rsid w:val="04F62D42"/>
    <w:rsid w:val="05765FEA"/>
    <w:rsid w:val="05C422AC"/>
    <w:rsid w:val="05F87FA0"/>
    <w:rsid w:val="07BF5B60"/>
    <w:rsid w:val="08276F76"/>
    <w:rsid w:val="0B195A9A"/>
    <w:rsid w:val="0B7A17EF"/>
    <w:rsid w:val="0C4607B2"/>
    <w:rsid w:val="0C8E079A"/>
    <w:rsid w:val="108475C3"/>
    <w:rsid w:val="10FD3980"/>
    <w:rsid w:val="11DD67F3"/>
    <w:rsid w:val="14262E9B"/>
    <w:rsid w:val="14276AE7"/>
    <w:rsid w:val="144A3773"/>
    <w:rsid w:val="149A77BC"/>
    <w:rsid w:val="158072D0"/>
    <w:rsid w:val="17447259"/>
    <w:rsid w:val="17F2375F"/>
    <w:rsid w:val="1D756A60"/>
    <w:rsid w:val="1FCF19C2"/>
    <w:rsid w:val="21E42AB6"/>
    <w:rsid w:val="2211148E"/>
    <w:rsid w:val="25220594"/>
    <w:rsid w:val="253664F9"/>
    <w:rsid w:val="258E7650"/>
    <w:rsid w:val="27E271C1"/>
    <w:rsid w:val="2941161C"/>
    <w:rsid w:val="2AE851D4"/>
    <w:rsid w:val="2E071AAE"/>
    <w:rsid w:val="2FF25ED6"/>
    <w:rsid w:val="30391D42"/>
    <w:rsid w:val="323847CF"/>
    <w:rsid w:val="32661E79"/>
    <w:rsid w:val="36CF2935"/>
    <w:rsid w:val="36F911EB"/>
    <w:rsid w:val="374264D9"/>
    <w:rsid w:val="375A407A"/>
    <w:rsid w:val="386313AB"/>
    <w:rsid w:val="38AC32F2"/>
    <w:rsid w:val="38FA1EDF"/>
    <w:rsid w:val="39312C65"/>
    <w:rsid w:val="39F87DB9"/>
    <w:rsid w:val="3A7737D2"/>
    <w:rsid w:val="3B0C59EE"/>
    <w:rsid w:val="3E8E6840"/>
    <w:rsid w:val="3F035660"/>
    <w:rsid w:val="3F906F47"/>
    <w:rsid w:val="406E089B"/>
    <w:rsid w:val="46A17458"/>
    <w:rsid w:val="489912ED"/>
    <w:rsid w:val="48DB40D8"/>
    <w:rsid w:val="4A104F9E"/>
    <w:rsid w:val="4A960F09"/>
    <w:rsid w:val="4B1100C4"/>
    <w:rsid w:val="4C11096F"/>
    <w:rsid w:val="4CDC3075"/>
    <w:rsid w:val="4D0273EC"/>
    <w:rsid w:val="4D8A2479"/>
    <w:rsid w:val="509C67A0"/>
    <w:rsid w:val="50CE0D6E"/>
    <w:rsid w:val="53E84D53"/>
    <w:rsid w:val="569513D8"/>
    <w:rsid w:val="56C25075"/>
    <w:rsid w:val="57A8045C"/>
    <w:rsid w:val="5AD4477B"/>
    <w:rsid w:val="5BC12709"/>
    <w:rsid w:val="5E886101"/>
    <w:rsid w:val="622473A0"/>
    <w:rsid w:val="6278621C"/>
    <w:rsid w:val="632C1906"/>
    <w:rsid w:val="638A6786"/>
    <w:rsid w:val="64523523"/>
    <w:rsid w:val="64AC0C2B"/>
    <w:rsid w:val="65712797"/>
    <w:rsid w:val="66D04D48"/>
    <w:rsid w:val="6726667C"/>
    <w:rsid w:val="67DC42E6"/>
    <w:rsid w:val="6840037B"/>
    <w:rsid w:val="68A47FBA"/>
    <w:rsid w:val="68F02638"/>
    <w:rsid w:val="6B740797"/>
    <w:rsid w:val="6DAA4FC4"/>
    <w:rsid w:val="6DF94E41"/>
    <w:rsid w:val="6E740745"/>
    <w:rsid w:val="6EA25D92"/>
    <w:rsid w:val="70737FB9"/>
    <w:rsid w:val="70953D88"/>
    <w:rsid w:val="72744F74"/>
    <w:rsid w:val="72E82D63"/>
    <w:rsid w:val="742247AA"/>
    <w:rsid w:val="74AF5406"/>
    <w:rsid w:val="7A212F82"/>
    <w:rsid w:val="7A3241A5"/>
    <w:rsid w:val="7C1A24E5"/>
    <w:rsid w:val="7D0970B0"/>
    <w:rsid w:val="7E237C2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Plain Text"/>
    <w:basedOn w:val="1"/>
    <w:unhideWhenUsed/>
    <w:qFormat/>
    <w:uiPriority w:val="0"/>
    <w:rPr>
      <w:rFonts w:ascii="宋体" w:hAnsi="Courier New"/>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jc w:val="left"/>
    </w:pPr>
    <w:rPr>
      <w:kern w:val="0"/>
      <w:sz w:val="24"/>
    </w:rPr>
  </w:style>
  <w:style w:type="character" w:styleId="7">
    <w:name w:val="Strong"/>
    <w:basedOn w:val="6"/>
    <w:qFormat/>
    <w:uiPriority w:val="22"/>
    <w:rPr>
      <w:b/>
      <w:bCs/>
    </w:rPr>
  </w:style>
  <w:style w:type="character" w:styleId="8">
    <w:name w:val="FollowedHyperlink"/>
    <w:basedOn w:val="6"/>
    <w:unhideWhenUsed/>
    <w:qFormat/>
    <w:uiPriority w:val="0"/>
    <w:rPr>
      <w:color w:val="000000"/>
      <w:u w:val="none"/>
    </w:rPr>
  </w:style>
  <w:style w:type="character" w:styleId="9">
    <w:name w:val="Hyperlink"/>
    <w:basedOn w:val="6"/>
    <w:unhideWhenUsed/>
    <w:qFormat/>
    <w:uiPriority w:val="0"/>
    <w:rPr>
      <w:color w:val="000000"/>
      <w:u w:val="none"/>
    </w:rPr>
  </w:style>
  <w:style w:type="character" w:styleId="10">
    <w:name w:val="HTML Code"/>
    <w:basedOn w:val="6"/>
    <w:unhideWhenUsed/>
    <w:qFormat/>
    <w:uiPriority w:val="0"/>
    <w:rPr>
      <w:rFonts w:ascii="Courier New" w:hAnsi="Courier New"/>
      <w:sz w:val="20"/>
      <w:bdr w:val="none" w:color="auto" w:sz="0" w:space="0"/>
    </w:rPr>
  </w:style>
  <w:style w:type="paragraph" w:customStyle="1" w:styleId="12">
    <w:name w:val="List Paragraph"/>
    <w:basedOn w:val="1"/>
    <w:unhideWhenUsed/>
    <w:qFormat/>
    <w:uiPriority w:val="99"/>
    <w:pPr>
      <w:ind w:firstLine="420" w:firstLineChars="200"/>
    </w:pPr>
  </w:style>
  <w:style w:type="character" w:customStyle="1" w:styleId="13">
    <w:name w:val="页眉 Char"/>
    <w:basedOn w:val="6"/>
    <w:link w:val="4"/>
    <w:qFormat/>
    <w:uiPriority w:val="99"/>
    <w:rPr>
      <w:sz w:val="18"/>
      <w:szCs w:val="18"/>
    </w:rPr>
  </w:style>
  <w:style w:type="character" w:customStyle="1" w:styleId="14">
    <w:name w:val="页脚 Char"/>
    <w:basedOn w:val="6"/>
    <w:link w:val="3"/>
    <w:qFormat/>
    <w:uiPriority w:val="99"/>
    <w:rPr>
      <w:sz w:val="18"/>
      <w:szCs w:val="18"/>
    </w:rPr>
  </w:style>
  <w:style w:type="character" w:customStyle="1" w:styleId="15">
    <w:name w:val="more"/>
    <w:basedOn w:val="6"/>
    <w:qFormat/>
    <w:uiPriority w:val="0"/>
    <w:rPr>
      <w:color w:val="4D4D4D"/>
      <w:sz w:val="21"/>
      <w:szCs w:val="21"/>
    </w:rPr>
  </w:style>
  <w:style w:type="character" w:customStyle="1" w:styleId="16">
    <w:name w:val="sdpic"/>
    <w:basedOn w:val="6"/>
    <w:qFormat/>
    <w:uiPriority w:val="0"/>
    <w:rPr/>
  </w:style>
  <w:style w:type="character" w:customStyle="1" w:styleId="17">
    <w:name w:val="width22"/>
    <w:basedOn w:val="6"/>
    <w:qFormat/>
    <w:uiPriority w:val="0"/>
    <w:rPr/>
  </w:style>
  <w:style w:type="character" w:customStyle="1" w:styleId="18">
    <w:name w:val="u_page"/>
    <w:basedOn w:val="6"/>
    <w:qFormat/>
    <w:uiPriority w:val="0"/>
    <w:rPr/>
  </w:style>
  <w:style w:type="character" w:customStyle="1" w:styleId="19">
    <w:name w:val="width24"/>
    <w:basedOn w:val="6"/>
    <w:qFormat/>
    <w:uiPriority w:val="0"/>
    <w:rPr/>
  </w:style>
  <w:style w:type="character" w:customStyle="1" w:styleId="20">
    <w:name w:val="xtitle"/>
    <w:basedOn w:val="6"/>
    <w:qFormat/>
    <w:uiPriority w:val="0"/>
    <w:rPr>
      <w:color w:val="A1A1A1"/>
      <w:sz w:val="18"/>
      <w:szCs w:val="18"/>
      <w:bdr w:val="single" w:color="A1A1A1" w:sz="6" w:space="0"/>
    </w:rPr>
  </w:style>
  <w:style w:type="character" w:customStyle="1" w:styleId="21">
    <w:name w:val="dftime"/>
    <w:basedOn w:val="6"/>
    <w:qFormat/>
    <w:uiPriority w:val="0"/>
    <w:rPr>
      <w:color w:val="A1A1A1"/>
      <w:sz w:val="21"/>
      <w:szCs w:val="21"/>
    </w:rPr>
  </w:style>
  <w:style w:type="character" w:customStyle="1" w:styleId="22">
    <w:name w:val="more5"/>
    <w:basedOn w:val="6"/>
    <w:qFormat/>
    <w:uiPriority w:val="0"/>
    <w:rPr>
      <w:color w:val="4D4D4D"/>
      <w:sz w:val="21"/>
      <w:szCs w:val="21"/>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440</Words>
  <Characters>2509</Characters>
  <Lines>20</Lines>
  <Paragraphs>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2023-03-22T09:02:00Z</dcterms:created>
  <dc:creator>1</dc:creator>
  <cp:lastModifiedBy>蒋宛希</cp:lastModifiedBy>
  <cp:lastPrinted>2020-01-17T09:34:00Z</cp:lastPrinted>
  <dcterms:modified xsi:type="dcterms:W3CDTF">2023-03-22T12:40:44Z</dcterms:modified>
  <dc:title>北京市东城区市场监督管理局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