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东城区医疗保障局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spacing w:val="8"/>
          <w:kern w:val="0"/>
          <w:sz w:val="32"/>
          <w:szCs w:val="32"/>
        </w:rPr>
      </w:pPr>
      <w:r>
        <w:rPr>
          <w:rFonts w:hint="eastAsia" w:ascii="微软雅黑" w:hAnsi="微软雅黑" w:eastAsia="微软雅黑" w:cs="宋体"/>
          <w:kern w:val="0"/>
          <w:sz w:val="24"/>
        </w:rPr>
        <w:t>　</w:t>
      </w:r>
      <w:r>
        <w:rPr>
          <w:rFonts w:hint="eastAsia" w:ascii="微软雅黑" w:hAnsi="微软雅黑" w:eastAsia="微软雅黑" w:cs="宋体"/>
          <w:kern w:val="0"/>
          <w:sz w:val="32"/>
          <w:szCs w:val="32"/>
        </w:rPr>
        <w:t xml:space="preserve"> </w:t>
      </w:r>
      <w:r>
        <w:rPr>
          <w:rFonts w:ascii="微软雅黑" w:hAnsi="微软雅黑" w:eastAsia="微软雅黑" w:cs="宋体"/>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lang w:eastAsia="zh-CN"/>
        </w:rPr>
      </w:pPr>
      <w:r>
        <w:rPr>
          <w:rFonts w:hint="eastAsia" w:ascii="楷体_GB2312" w:hAnsi="宋体" w:eastAsia="楷体_GB2312" w:cs="宋体"/>
          <w:spacing w:val="8"/>
          <w:kern w:val="0"/>
          <w:sz w:val="32"/>
          <w:szCs w:val="32"/>
          <w:lang w:eastAsia="zh-CN"/>
        </w:rPr>
        <w:t>组织领导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lang w:eastAsia="zh-CN"/>
        </w:rPr>
      </w:pPr>
      <w:r>
        <w:rPr>
          <w:rFonts w:hint="eastAsia" w:ascii="仿宋_GB2312" w:hAnsi="宋体" w:eastAsia="仿宋_GB2312" w:cs="宋体"/>
          <w:spacing w:val="8"/>
          <w:kern w:val="0"/>
          <w:sz w:val="32"/>
          <w:szCs w:val="32"/>
          <w:lang w:eastAsia="zh-CN"/>
        </w:rPr>
        <w:t>北京市东城区医疗保障局政府信息公开工作领导小组由局主要领导担任组长，分管领导负责业务指导，综合科负责具体承办，确保任务逐级分解、责任层层落实。</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主动公开情况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华文仿宋" w:eastAsia="仿宋_GB2312" w:cs="Arial Unicode MS"/>
          <w:color w:val="auto"/>
          <w:kern w:val="0"/>
          <w:sz w:val="32"/>
          <w:szCs w:val="32"/>
          <w:lang w:val="en-US" w:eastAsia="zh-CN" w:bidi="ar-SA"/>
        </w:rPr>
      </w:pPr>
      <w:r>
        <w:rPr>
          <w:rFonts w:hint="default" w:ascii="Times New Roman" w:hAnsi="Times New Roman" w:eastAsia="仿宋_GB2312" w:cs="Times New Roman"/>
          <w:spacing w:val="8"/>
          <w:kern w:val="0"/>
          <w:sz w:val="32"/>
          <w:szCs w:val="32"/>
          <w:lang w:val="en-US" w:eastAsia="zh-CN"/>
        </w:rPr>
        <w:t>2022年，本单位全年共主动公开政府信息49条。其中：</w:t>
      </w:r>
      <w:r>
        <w:rPr>
          <w:rFonts w:hint="default" w:ascii="Times New Roman" w:hAnsi="Times New Roman" w:eastAsia="仿宋_GB2312" w:cs="Times New Roman"/>
          <w:spacing w:val="8"/>
          <w:kern w:val="0"/>
          <w:sz w:val="32"/>
          <w:szCs w:val="32"/>
          <w:highlight w:val="none"/>
        </w:rPr>
        <w:t>机构职能类3条</w:t>
      </w:r>
      <w:r>
        <w:rPr>
          <w:rFonts w:hint="default" w:ascii="Times New Roman" w:hAnsi="Times New Roman" w:eastAsia="仿宋_GB2312" w:cs="Times New Roman"/>
          <w:spacing w:val="8"/>
          <w:kern w:val="0"/>
          <w:sz w:val="32"/>
          <w:szCs w:val="32"/>
          <w:highlight w:val="none"/>
          <w:lang w:eastAsia="zh-CN"/>
        </w:rPr>
        <w:t>；</w:t>
      </w:r>
      <w:r>
        <w:rPr>
          <w:rFonts w:hint="default" w:ascii="Times New Roman" w:hAnsi="Times New Roman" w:eastAsia="仿宋_GB2312" w:cs="Times New Roman"/>
          <w:spacing w:val="8"/>
          <w:kern w:val="0"/>
          <w:sz w:val="32"/>
          <w:szCs w:val="32"/>
          <w:highlight w:val="none"/>
        </w:rPr>
        <w:t>通知公告类</w:t>
      </w:r>
      <w:r>
        <w:rPr>
          <w:rFonts w:hint="default" w:ascii="Times New Roman" w:hAnsi="Times New Roman" w:eastAsia="仿宋_GB2312" w:cs="Times New Roman"/>
          <w:spacing w:val="8"/>
          <w:kern w:val="0"/>
          <w:sz w:val="32"/>
          <w:szCs w:val="32"/>
          <w:highlight w:val="none"/>
          <w:lang w:val="en-US" w:eastAsia="zh-CN"/>
        </w:rPr>
        <w:t>3</w:t>
      </w:r>
      <w:r>
        <w:rPr>
          <w:rFonts w:hint="default" w:ascii="Times New Roman" w:hAnsi="Times New Roman" w:eastAsia="仿宋_GB2312" w:cs="Times New Roman"/>
          <w:spacing w:val="8"/>
          <w:kern w:val="0"/>
          <w:sz w:val="32"/>
          <w:szCs w:val="32"/>
          <w:highlight w:val="none"/>
        </w:rPr>
        <w:t>条</w:t>
      </w:r>
      <w:r>
        <w:rPr>
          <w:rFonts w:hint="default" w:ascii="Times New Roman" w:hAnsi="Times New Roman" w:eastAsia="仿宋_GB2312" w:cs="Times New Roman"/>
          <w:spacing w:val="8"/>
          <w:kern w:val="0"/>
          <w:sz w:val="32"/>
          <w:szCs w:val="32"/>
          <w:highlight w:val="none"/>
          <w:lang w:eastAsia="zh-CN"/>
        </w:rPr>
        <w:t>；</w:t>
      </w:r>
      <w:r>
        <w:rPr>
          <w:rFonts w:hint="default" w:ascii="Times New Roman" w:hAnsi="Times New Roman" w:eastAsia="仿宋_GB2312" w:cs="Times New Roman"/>
          <w:spacing w:val="8"/>
          <w:kern w:val="0"/>
          <w:sz w:val="32"/>
          <w:szCs w:val="32"/>
          <w:highlight w:val="none"/>
        </w:rPr>
        <w:t>政务开放日类2条</w:t>
      </w:r>
      <w:r>
        <w:rPr>
          <w:rFonts w:hint="default" w:ascii="Times New Roman" w:hAnsi="Times New Roman" w:eastAsia="仿宋_GB2312" w:cs="Times New Roman"/>
          <w:spacing w:val="8"/>
          <w:kern w:val="0"/>
          <w:sz w:val="32"/>
          <w:szCs w:val="32"/>
          <w:highlight w:val="none"/>
          <w:lang w:eastAsia="zh-CN"/>
        </w:rPr>
        <w:t>；</w:t>
      </w:r>
      <w:r>
        <w:rPr>
          <w:rFonts w:hint="default" w:ascii="Times New Roman" w:hAnsi="Times New Roman" w:eastAsia="仿宋_GB2312" w:cs="Times New Roman"/>
          <w:spacing w:val="8"/>
          <w:kern w:val="0"/>
          <w:sz w:val="32"/>
          <w:szCs w:val="32"/>
          <w:highlight w:val="none"/>
        </w:rPr>
        <w:t>工作动态类</w:t>
      </w:r>
      <w:r>
        <w:rPr>
          <w:rFonts w:hint="default" w:ascii="Times New Roman" w:hAnsi="Times New Roman" w:eastAsia="仿宋_GB2312" w:cs="Times New Roman"/>
          <w:spacing w:val="8"/>
          <w:kern w:val="0"/>
          <w:sz w:val="32"/>
          <w:szCs w:val="32"/>
          <w:highlight w:val="none"/>
          <w:lang w:val="en-US" w:eastAsia="zh-CN"/>
        </w:rPr>
        <w:t>41</w:t>
      </w:r>
      <w:r>
        <w:rPr>
          <w:rFonts w:hint="default" w:ascii="Times New Roman" w:hAnsi="Times New Roman" w:eastAsia="仿宋_GB2312" w:cs="Times New Roman"/>
          <w:spacing w:val="8"/>
          <w:kern w:val="0"/>
          <w:sz w:val="32"/>
          <w:szCs w:val="32"/>
          <w:highlight w:val="none"/>
        </w:rPr>
        <w:t>条</w:t>
      </w:r>
      <w:r>
        <w:rPr>
          <w:rFonts w:hint="default" w:ascii="Times New Roman" w:hAnsi="Times New Roman" w:eastAsia="仿宋_GB2312" w:cs="Times New Roman"/>
          <w:spacing w:val="8"/>
          <w:kern w:val="0"/>
          <w:sz w:val="32"/>
          <w:szCs w:val="32"/>
          <w:highlight w:val="none"/>
          <w:lang w:eastAsia="zh-CN"/>
        </w:rPr>
        <w:t>。</w:t>
      </w:r>
      <w:r>
        <w:rPr>
          <w:rFonts w:hint="eastAsia" w:ascii="仿宋_GB2312" w:hAnsi="宋体" w:eastAsia="仿宋_GB2312" w:cs="宋体"/>
          <w:spacing w:val="8"/>
          <w:kern w:val="0"/>
          <w:sz w:val="32"/>
          <w:szCs w:val="32"/>
          <w:lang w:eastAsia="zh-CN"/>
        </w:rPr>
        <w:t>认真履行《北京市东城区202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lang w:eastAsia="zh-CN"/>
        </w:rPr>
        <w:t>年政务公开工作要点》涉及医保局的工作职责，</w:t>
      </w:r>
      <w:r>
        <w:rPr>
          <w:rFonts w:hint="eastAsia" w:ascii="仿宋_GB2312" w:hAnsi="宋体" w:eastAsia="仿宋_GB2312" w:cs="宋体"/>
          <w:spacing w:val="8"/>
          <w:kern w:val="0"/>
          <w:sz w:val="32"/>
          <w:szCs w:val="32"/>
          <w:highlight w:val="none"/>
          <w:lang w:eastAsia="zh-CN"/>
        </w:rPr>
        <w:t>在发布权限范围内，通过政府门户网站、微信公众号等平台及时更新</w:t>
      </w:r>
      <w:r>
        <w:rPr>
          <w:rFonts w:hint="eastAsia" w:ascii="仿宋_GB2312" w:hAnsi="华文仿宋" w:eastAsia="仿宋_GB2312" w:cs="Arial Unicode MS"/>
          <w:color w:val="auto"/>
          <w:kern w:val="0"/>
          <w:sz w:val="32"/>
          <w:szCs w:val="32"/>
          <w:lang w:val="en-US" w:eastAsia="zh-CN" w:bidi="ar-SA"/>
        </w:rPr>
        <w:t>医药价格改革、药品和耗材集中采购等工作在辖区医药机构落实情况，共计更新25条。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依申请公开办理情况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spacing w:val="8"/>
          <w:kern w:val="0"/>
          <w:sz w:val="32"/>
          <w:szCs w:val="32"/>
          <w:lang w:val="en-US" w:eastAsia="zh-CN"/>
        </w:rPr>
      </w:pPr>
      <w:r>
        <w:rPr>
          <w:rFonts w:hint="default" w:ascii="Times New Roman" w:hAnsi="Times New Roman" w:eastAsia="仿宋_GB2312" w:cs="Times New Roman"/>
          <w:spacing w:val="8"/>
          <w:kern w:val="0"/>
          <w:sz w:val="32"/>
          <w:szCs w:val="32"/>
        </w:rPr>
        <w:t>2022年</w:t>
      </w:r>
      <w:r>
        <w:rPr>
          <w:rFonts w:hint="default" w:ascii="Times New Roman" w:hAnsi="Times New Roman" w:eastAsia="仿宋_GB2312" w:cs="Times New Roman"/>
          <w:spacing w:val="8"/>
          <w:kern w:val="0"/>
          <w:sz w:val="32"/>
          <w:szCs w:val="32"/>
          <w:lang w:eastAsia="zh-CN"/>
        </w:rPr>
        <w:t>，东城区医疗保障局共</w:t>
      </w:r>
      <w:r>
        <w:rPr>
          <w:rFonts w:hint="default" w:ascii="Times New Roman" w:hAnsi="Times New Roman" w:eastAsia="仿宋_GB2312" w:cs="Times New Roman"/>
          <w:spacing w:val="8"/>
          <w:kern w:val="0"/>
          <w:sz w:val="32"/>
          <w:szCs w:val="32"/>
        </w:rPr>
        <w:t>收</w:t>
      </w:r>
      <w:r>
        <w:rPr>
          <w:rFonts w:hint="default" w:ascii="Times New Roman" w:hAnsi="Times New Roman" w:eastAsia="仿宋_GB2312" w:cs="Times New Roman"/>
          <w:spacing w:val="8"/>
          <w:kern w:val="0"/>
          <w:sz w:val="32"/>
          <w:szCs w:val="32"/>
          <w:lang w:eastAsia="zh-CN"/>
        </w:rPr>
        <w:t>到</w:t>
      </w:r>
      <w:r>
        <w:rPr>
          <w:rFonts w:hint="default" w:ascii="Times New Roman" w:hAnsi="Times New Roman" w:eastAsia="仿宋_GB2312" w:cs="Times New Roman"/>
          <w:spacing w:val="8"/>
          <w:kern w:val="0"/>
          <w:sz w:val="32"/>
          <w:szCs w:val="32"/>
        </w:rPr>
        <w:t>政府信息公开申请1件，根据《中华人民共和国政府信息公开条例》在法定时限内按照规定流程给予答复，属于公开范围。</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spacing w:val="8"/>
          <w:kern w:val="0"/>
          <w:sz w:val="32"/>
          <w:szCs w:val="32"/>
          <w:lang w:val="en-US" w:eastAsia="zh-CN"/>
        </w:rPr>
      </w:pPr>
      <w:r>
        <w:rPr>
          <w:rFonts w:hint="default" w:ascii="Times New Roman" w:hAnsi="Times New Roman" w:eastAsia="楷体_GB2312" w:cs="Times New Roman"/>
          <w:spacing w:val="8"/>
          <w:kern w:val="0"/>
          <w:sz w:val="32"/>
          <w:szCs w:val="32"/>
          <w:lang w:val="en-US" w:eastAsia="zh-CN"/>
        </w:rPr>
        <w:t>政府信息管理情况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highlight w:val="none"/>
          <w:lang w:val="en-US" w:eastAsia="zh-CN"/>
        </w:rPr>
      </w:pPr>
      <w:r>
        <w:rPr>
          <w:rFonts w:hint="eastAsia" w:ascii="仿宋_GB2312" w:hAnsi="仿宋_GB2312" w:eastAsia="仿宋_GB2312" w:cs="仿宋_GB2312"/>
          <w:spacing w:val="8"/>
          <w:kern w:val="0"/>
          <w:sz w:val="32"/>
          <w:szCs w:val="32"/>
          <w:highlight w:val="none"/>
          <w:lang w:val="en-US" w:eastAsia="zh-CN"/>
        </w:rPr>
        <w:t>依据政府信息公开全清单，利用政府网站等形式，主动向社会公开我局的组织机构、办事指南、工作动态等。在信息公开的过程中，着重加强保密审查，确保“上网不涉密、涉密不上网”。</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政府信息公开平台建设情况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充分运用东城区政府门户网站、“东城医保”微信公众号等信息化手段，及时公开政务信息，积极回应社会关切问题。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政府信息公开监督保障及教育培训情况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textAlignment w:val="auto"/>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bidi="ar-SA"/>
        </w:rPr>
        <w:t>高度重视政府信息公开工作，明确信息公开工作分管领导，由综合科配备1名工作人员负责日常信息公开的规范化操作。加强相关业务工作培训，进一步明确主动公开的范围、形式和时限，明确依申请公开的范围、受理机构、处理程序，明确监督方式和程序，及时更新网站信息。</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主动公开政府信息情况</w:t>
      </w:r>
    </w:p>
    <w:p>
      <w:pPr>
        <w:pStyle w:val="2"/>
        <w:keepNext w:val="0"/>
        <w:keepLines w:val="0"/>
        <w:pageBreakBefore w:val="0"/>
        <w:kinsoku/>
        <w:wordWrap/>
        <w:overflowPunct/>
        <w:topLinePunct w:val="0"/>
        <w:autoSpaceDE/>
        <w:autoSpaceDN/>
        <w:bidi w:val="0"/>
        <w:adjustRightInd/>
        <w:snapToGrid/>
        <w:spacing w:line="560" w:lineRule="exact"/>
        <w:textAlignment w:val="auto"/>
      </w:pP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0"/>
                <w:szCs w:val="20"/>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0"/>
                <w:szCs w:val="20"/>
              </w:rPr>
            </w:pPr>
            <w:r>
              <w:rPr>
                <w:rFonts w:hint="eastAsia" w:ascii="宋体" w:hAnsi="宋体" w:cs="宋体"/>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r>
              <w:rPr>
                <w:rFonts w:hint="eastAsia" w:ascii="宋体" w:hAnsi="宋体" w:cs="宋体"/>
                <w:kern w:val="0"/>
                <w:sz w:val="20"/>
                <w:szCs w:val="20"/>
              </w:rPr>
              <w:t>0</w:t>
            </w:r>
          </w:p>
        </w:tc>
      </w:tr>
    </w:tbl>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r>
        <w:rPr>
          <w:rFonts w:hint="eastAsia"/>
        </w:rPr>
        <w:br w:type="page"/>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2"/>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b/>
                <w:bCs/>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asciiTheme="minorHAnsi"/>
                <w:lang w:val="en-US" w:eastAsia="zh-CN"/>
              </w:rPr>
            </w:pPr>
            <w:r>
              <w:rPr>
                <w:rFonts w:hint="eastAsia" w:asciiTheme="minorHAnsi"/>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asciiTheme="minorHAnsi"/>
                <w:lang w:val="en-US" w:eastAsia="zh-CN"/>
              </w:rPr>
            </w:pPr>
            <w:r>
              <w:rPr>
                <w:rFonts w:hint="eastAsia" w:asciiTheme="minorHAnsi"/>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hAnsi="Calibri" w:cs="Calibri" w:asciiTheme="minorHAns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rPr>
            </w:pPr>
            <w:r>
              <w:rPr>
                <w:rFonts w:hint="eastAsia" w:asciiTheme="minorHAnsi"/>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HAnsi"/>
                <w:sz w:val="24"/>
                <w:szCs w:val="24"/>
              </w:rPr>
            </w:pPr>
            <w:r>
              <w:rPr>
                <w:rFonts w:hint="eastAsia" w:hAnsi="Calibri" w:cs="Calibri" w:asciiTheme="minorHAnsi"/>
                <w:kern w:val="0"/>
                <w:sz w:val="20"/>
                <w:szCs w:val="20"/>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pPr>
        <w:pStyle w:val="2"/>
        <w:numPr>
          <w:ilvl w:val="0"/>
          <w:numId w:val="0"/>
        </w:num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r>
              <w:rPr>
                <w:rFonts w:hint="eastAsia" w:ascii="黑体" w:hAnsi="宋体" w:eastAsia="黑体" w:cs="黑体"/>
                <w:kern w:val="0"/>
                <w:sz w:val="20"/>
                <w:szCs w:val="20"/>
              </w:rPr>
              <w:t>0</w:t>
            </w:r>
          </w:p>
        </w:tc>
      </w:tr>
    </w:tbl>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rPr>
      </w:pPr>
      <w:r>
        <w:rPr>
          <w:rFonts w:hint="eastAsi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36" w:firstLineChars="100"/>
        <w:jc w:val="left"/>
        <w:textAlignment w:val="auto"/>
        <w:rPr>
          <w:rFonts w:ascii="黑体" w:hAnsi="黑体" w:eastAsia="黑体" w:cs="宋体"/>
          <w:spacing w:val="8"/>
          <w:kern w:val="0"/>
          <w:sz w:val="32"/>
          <w:szCs w:val="32"/>
        </w:rPr>
      </w:pPr>
      <w:r>
        <w:rPr>
          <w:rFonts w:hint="eastAsia" w:ascii="黑体" w:hAnsi="黑体" w:eastAsia="黑体" w:cs="宋体"/>
          <w:spacing w:val="8"/>
          <w:kern w:val="0"/>
          <w:sz w:val="32"/>
          <w:szCs w:val="32"/>
          <w:lang w:eastAsia="zh-CN"/>
        </w:rPr>
        <w:t>五、</w:t>
      </w:r>
      <w:r>
        <w:rPr>
          <w:rFonts w:ascii="黑体" w:hAnsi="黑体" w:eastAsia="黑体" w:cs="宋体"/>
          <w:spacing w:val="8"/>
          <w:kern w:val="0"/>
          <w:sz w:val="32"/>
          <w:szCs w:val="32"/>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5" w:firstLineChars="200"/>
        <w:textAlignment w:val="auto"/>
        <w:rPr>
          <w:rFonts w:ascii="楷体_GB2312" w:hAnsi="宋体" w:eastAsia="楷体_GB2312" w:cs="宋体"/>
          <w:b/>
          <w:bCs/>
          <w:spacing w:val="8"/>
          <w:kern w:val="0"/>
          <w:sz w:val="32"/>
          <w:szCs w:val="32"/>
        </w:rPr>
      </w:pPr>
      <w:r>
        <w:rPr>
          <w:rFonts w:hint="eastAsia" w:ascii="楷体_GB2312" w:hAnsi="宋体" w:eastAsia="楷体_GB2312" w:cs="宋体"/>
          <w:b/>
          <w:bCs/>
          <w:spacing w:val="8"/>
          <w:kern w:val="0"/>
          <w:sz w:val="32"/>
          <w:szCs w:val="32"/>
        </w:rPr>
        <w:t>（一）存在的问题</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ascii="仿宋_GB2312" w:hAnsi="宋体" w:eastAsia="仿宋_GB2312" w:cs="宋体"/>
          <w:spacing w:val="8"/>
          <w:kern w:val="0"/>
          <w:sz w:val="32"/>
          <w:szCs w:val="32"/>
        </w:rPr>
        <w:t>2</w:t>
      </w:r>
      <w:r>
        <w:rPr>
          <w:rFonts w:hint="eastAsia" w:ascii="仿宋_GB2312" w:hAnsi="宋体" w:eastAsia="仿宋_GB2312" w:cs="宋体"/>
          <w:spacing w:val="8"/>
          <w:kern w:val="0"/>
          <w:sz w:val="32"/>
          <w:szCs w:val="32"/>
        </w:rPr>
        <w:t>年，我局政府信息公开工作平稳有序推进，但还存在一些薄弱环节</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一是信息公开及时性有待进一步强化</w:t>
      </w:r>
      <w:r>
        <w:rPr>
          <w:rFonts w:hint="eastAsia" w:ascii="仿宋_GB2312" w:hAnsi="宋体" w:eastAsia="仿宋_GB2312" w:cs="宋体"/>
          <w:spacing w:val="8"/>
          <w:kern w:val="0"/>
          <w:sz w:val="32"/>
          <w:szCs w:val="32"/>
          <w:lang w:eastAsia="zh-CN"/>
        </w:rPr>
        <w:t>，部分信息具有时效性、实效性，由于工作滞后，信息发布不够及时；</w:t>
      </w:r>
      <w:r>
        <w:rPr>
          <w:rFonts w:hint="eastAsia" w:ascii="仿宋_GB2312" w:hAnsi="宋体" w:eastAsia="仿宋_GB2312" w:cs="宋体"/>
          <w:spacing w:val="8"/>
          <w:kern w:val="0"/>
          <w:sz w:val="32"/>
          <w:szCs w:val="32"/>
        </w:rPr>
        <w:t>二是信息公开内容有待进一步深化</w:t>
      </w:r>
      <w:r>
        <w:rPr>
          <w:rFonts w:hint="eastAsia" w:ascii="仿宋_GB2312" w:hAnsi="宋体" w:eastAsia="仿宋_GB2312" w:cs="宋体"/>
          <w:spacing w:val="8"/>
          <w:kern w:val="0"/>
          <w:sz w:val="32"/>
          <w:szCs w:val="32"/>
          <w:lang w:val="en-US" w:eastAsia="zh-CN"/>
        </w:rPr>
        <w:t>,部分科室存在对政务公开工作重视不够，主动公开信息意识不强，公开内容简单片面等现象</w:t>
      </w:r>
      <w:r>
        <w:rPr>
          <w:rFonts w:hint="eastAsia" w:ascii="仿宋_GB2312" w:hAnsi="宋体" w:eastAsia="仿宋_GB2312" w:cs="宋体"/>
          <w:spacing w:val="8"/>
          <w:kern w:val="0"/>
          <w:sz w:val="32"/>
          <w:szCs w:val="32"/>
        </w:rPr>
        <w:t>;三是信息公开质量有待进一步提升</w:t>
      </w:r>
      <w:r>
        <w:rPr>
          <w:rFonts w:hint="eastAsia" w:ascii="仿宋_GB2312" w:hAnsi="宋体" w:eastAsia="仿宋_GB2312" w:cs="宋体"/>
          <w:spacing w:val="8"/>
          <w:kern w:val="0"/>
          <w:sz w:val="32"/>
          <w:szCs w:val="32"/>
          <w:lang w:eastAsia="zh-CN"/>
        </w:rPr>
        <w:t>，一方面政府信息公开人员队伍建设不足，工作人员业务能力需要进一步提升，另一方面政府信息公开工作的培训力度不足</w:t>
      </w:r>
      <w:r>
        <w:rPr>
          <w:rFonts w:hint="eastAsia" w:ascii="仿宋_GB2312" w:hAnsi="宋体" w:eastAsia="仿宋_GB2312" w:cs="宋体"/>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5" w:firstLineChars="200"/>
        <w:textAlignment w:val="auto"/>
        <w:rPr>
          <w:rFonts w:ascii="楷体_GB2312" w:hAnsi="宋体" w:eastAsia="楷体_GB2312" w:cs="宋体"/>
          <w:b/>
          <w:bCs/>
          <w:spacing w:val="8"/>
          <w:kern w:val="0"/>
          <w:sz w:val="32"/>
          <w:szCs w:val="32"/>
        </w:rPr>
      </w:pPr>
      <w:r>
        <w:rPr>
          <w:rFonts w:hint="eastAsia" w:ascii="楷体_GB2312" w:hAnsi="宋体" w:eastAsia="楷体_GB2312" w:cs="宋体"/>
          <w:b/>
          <w:bCs/>
          <w:spacing w:val="8"/>
          <w:kern w:val="0"/>
          <w:sz w:val="32"/>
          <w:szCs w:val="32"/>
        </w:rPr>
        <w:t>（二）改进措施</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针对上述问题，我局将进一步贯彻落实《政府信息公开条例》，继续大力推进政府信息公开工作。一是提高对信息公开的认识，强化主动公开，不断提高我局信息发布的数量和质量</w:t>
      </w:r>
      <w:r>
        <w:rPr>
          <w:rFonts w:hint="eastAsia" w:ascii="仿宋_GB2312" w:hAnsi="宋体" w:eastAsia="仿宋_GB2312" w:cs="宋体"/>
          <w:spacing w:val="8"/>
          <w:kern w:val="0"/>
          <w:sz w:val="32"/>
          <w:szCs w:val="32"/>
        </w:rPr>
        <w:t>；</w:t>
      </w:r>
      <w:r>
        <w:rPr>
          <w:rFonts w:ascii="仿宋_GB2312" w:hAnsi="宋体" w:eastAsia="仿宋_GB2312" w:cs="宋体"/>
          <w:spacing w:val="8"/>
          <w:kern w:val="0"/>
          <w:sz w:val="32"/>
          <w:szCs w:val="32"/>
        </w:rPr>
        <w:t>二是</w:t>
      </w:r>
      <w:r>
        <w:rPr>
          <w:rFonts w:hint="eastAsia" w:ascii="仿宋_GB2312" w:hAnsi="宋体" w:eastAsia="仿宋_GB2312" w:cs="宋体"/>
          <w:spacing w:val="8"/>
          <w:kern w:val="0"/>
          <w:sz w:val="32"/>
          <w:szCs w:val="32"/>
        </w:rPr>
        <w:t>进一步明确职责分工，完善工作机制，不断创新工作方式方法，增强工作人员政务公开意识，提高政府信息采集、编辑能力；三是丰富政策解读形式，加大应用政务新媒体等渠道发布信息力度，及时开展政策解读和信息宣传，回应社会关切，努力提高社会公众对医保政策和工作信息的知晓率和获取的便捷性。</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本单位依据《政府信息公开信息处理费管理办法》收取信息处理费，发出收费通知的件数和总金额以及实际收取的总金额均为0。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北京市东城区人民政府门户网站网址为http://www.bjdch.gov.cn/，如需了解更多政府信息，请登录查询。</w:t>
      </w:r>
    </w:p>
    <w:p>
      <w:pPr>
        <w:pStyle w:val="2"/>
        <w:jc w:val="both"/>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sz w:val="32"/>
          <w:szCs w:val="32"/>
          <w:lang w:val="en-US" w:eastAsia="zh-CN"/>
        </w:rPr>
      </w:pPr>
    </w:p>
    <w:p>
      <w:pPr>
        <w:pStyle w:val="2"/>
        <w:ind w:firstLine="640" w:firstLineChars="200"/>
        <w:jc w:val="center"/>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UYqbc/wEAAPQDAAAOAAAAZHJzL2Uyb0RvYy54bWytU0tu2zAQ3Rfo&#10;HQjua1kxkhaC5SCI4aJA2gZIewCaoiSiIocY0pbcyxTorofocYpco0NKdvPZZNENMRwOH997M1xe&#10;DqZje4Vegy15PptzpqyEStum5F+/bN6848wHYSvRgVUlPyjPL1evXy17V6gzaKGrFDICsb7oXcnb&#10;EFyRZV62ygg/A6csHdaARgTaYpNVKHpCN112Np9fZD1g5RCk8p6y6/GQT4j4EkCoay3VGuTOKBtG&#10;VFSdCCTJt9p5vkps61rJ8LmuvQqsKzkpDWmlRyjexjVbLUXRoHCtlhMF8RIKTzQZoS09eoJaiyDY&#10;DvUzKKMlgoc6zCSYbBSSHCEV+fyJN3etcCppIau9O5nu/x+s/LS/RaYrmgTOrDDU8Psfv/78/sny&#10;6E3vfEEld+4WozrvbkB+88zCdStso64QoW+VqIhRqs8eXYgbT1fZtv8IFUGLXYBk01CjiYBkABtS&#10;Nw6nbqghMEnJi7eLnNok6SQ/X8wX55FQJorjXYc+vFdgWAxKjtTrhC32Nz6MpceS+JSFje661O/O&#10;PkoQZswk7pHuKDsM22FyYAvVgVQgjONDn4eCFvA7Zz2NTskt/RTOug+WfIhTdgzwGGyPgbCSLpY8&#10;cDaG12Gcxp1D3bSEmycR3l2RVxudhEQfRw4TSxqGZMU0uHHaHu5T1b/Puv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PGZztEAAAADAQAADwAAAAAAAAABACAAAAAiAAAAZHJzL2Rvd25yZXYueG1s&#10;UEsBAhQAFAAAAAgAh07iQJRiptz/AQAA9A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FE309F24"/>
    <w:multiLevelType w:val="singleLevel"/>
    <w:tmpl w:val="FE309F24"/>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7E0"/>
    <w:rsid w:val="00023D15"/>
    <w:rsid w:val="00057AA7"/>
    <w:rsid w:val="0007113F"/>
    <w:rsid w:val="00090CCE"/>
    <w:rsid w:val="000F6C06"/>
    <w:rsid w:val="001C28BC"/>
    <w:rsid w:val="001E1F13"/>
    <w:rsid w:val="0021050A"/>
    <w:rsid w:val="00245A72"/>
    <w:rsid w:val="00277706"/>
    <w:rsid w:val="00322A71"/>
    <w:rsid w:val="003C0281"/>
    <w:rsid w:val="00524729"/>
    <w:rsid w:val="00547312"/>
    <w:rsid w:val="0057201B"/>
    <w:rsid w:val="00583CC5"/>
    <w:rsid w:val="005C77A4"/>
    <w:rsid w:val="005F33E7"/>
    <w:rsid w:val="00620620"/>
    <w:rsid w:val="00653E97"/>
    <w:rsid w:val="00655058"/>
    <w:rsid w:val="006704BD"/>
    <w:rsid w:val="006961EF"/>
    <w:rsid w:val="006B107B"/>
    <w:rsid w:val="0072055A"/>
    <w:rsid w:val="007A715A"/>
    <w:rsid w:val="007C6B45"/>
    <w:rsid w:val="007D502D"/>
    <w:rsid w:val="007E253C"/>
    <w:rsid w:val="00823D59"/>
    <w:rsid w:val="008845B3"/>
    <w:rsid w:val="00933CF5"/>
    <w:rsid w:val="00A110E4"/>
    <w:rsid w:val="00A741C7"/>
    <w:rsid w:val="00AC7F98"/>
    <w:rsid w:val="00BA5286"/>
    <w:rsid w:val="00BC2FE8"/>
    <w:rsid w:val="00C73767"/>
    <w:rsid w:val="00CA67AB"/>
    <w:rsid w:val="00CD559A"/>
    <w:rsid w:val="00D1310A"/>
    <w:rsid w:val="00D17302"/>
    <w:rsid w:val="00D94635"/>
    <w:rsid w:val="00E11E32"/>
    <w:rsid w:val="00E16FF3"/>
    <w:rsid w:val="00E26589"/>
    <w:rsid w:val="00EC28C6"/>
    <w:rsid w:val="00F24E07"/>
    <w:rsid w:val="040E7208"/>
    <w:rsid w:val="04321670"/>
    <w:rsid w:val="05870646"/>
    <w:rsid w:val="063513A0"/>
    <w:rsid w:val="0687749A"/>
    <w:rsid w:val="08087037"/>
    <w:rsid w:val="08DD1171"/>
    <w:rsid w:val="092B3BE2"/>
    <w:rsid w:val="098A0FA5"/>
    <w:rsid w:val="0A897FB4"/>
    <w:rsid w:val="0BFD4175"/>
    <w:rsid w:val="0CC94D8B"/>
    <w:rsid w:val="0D3064BC"/>
    <w:rsid w:val="0DB263FC"/>
    <w:rsid w:val="0E311EA4"/>
    <w:rsid w:val="0E3509D9"/>
    <w:rsid w:val="0F1A0EE4"/>
    <w:rsid w:val="107B2AFE"/>
    <w:rsid w:val="10AC216D"/>
    <w:rsid w:val="11320474"/>
    <w:rsid w:val="120D3623"/>
    <w:rsid w:val="12470146"/>
    <w:rsid w:val="13F427DF"/>
    <w:rsid w:val="17162F46"/>
    <w:rsid w:val="18894AB0"/>
    <w:rsid w:val="1D8C2871"/>
    <w:rsid w:val="1E0203A9"/>
    <w:rsid w:val="1F3D666E"/>
    <w:rsid w:val="20C33EC1"/>
    <w:rsid w:val="20E52E15"/>
    <w:rsid w:val="21FE5790"/>
    <w:rsid w:val="225E12FD"/>
    <w:rsid w:val="229B4547"/>
    <w:rsid w:val="230706ED"/>
    <w:rsid w:val="23C009D3"/>
    <w:rsid w:val="242C6B44"/>
    <w:rsid w:val="250A7AEB"/>
    <w:rsid w:val="280B4022"/>
    <w:rsid w:val="29BE3562"/>
    <w:rsid w:val="2A192BE0"/>
    <w:rsid w:val="2BB5201C"/>
    <w:rsid w:val="2DAE06F3"/>
    <w:rsid w:val="2FBC0179"/>
    <w:rsid w:val="35CE5906"/>
    <w:rsid w:val="366F60D5"/>
    <w:rsid w:val="38863FB7"/>
    <w:rsid w:val="3AB10DB3"/>
    <w:rsid w:val="3C2D22D9"/>
    <w:rsid w:val="3C59331C"/>
    <w:rsid w:val="3C68139B"/>
    <w:rsid w:val="3DEA38EF"/>
    <w:rsid w:val="3F3F05A8"/>
    <w:rsid w:val="3FA629C1"/>
    <w:rsid w:val="4066506C"/>
    <w:rsid w:val="41D64F6D"/>
    <w:rsid w:val="43974A88"/>
    <w:rsid w:val="45C66F47"/>
    <w:rsid w:val="46F57AE0"/>
    <w:rsid w:val="48B32EAE"/>
    <w:rsid w:val="49F466BB"/>
    <w:rsid w:val="4B200337"/>
    <w:rsid w:val="4D114E52"/>
    <w:rsid w:val="4D636453"/>
    <w:rsid w:val="4EEF230F"/>
    <w:rsid w:val="4F846CCC"/>
    <w:rsid w:val="53D21B59"/>
    <w:rsid w:val="59A52B98"/>
    <w:rsid w:val="5BE764A3"/>
    <w:rsid w:val="5BF46E77"/>
    <w:rsid w:val="5CD868B7"/>
    <w:rsid w:val="5E2E672D"/>
    <w:rsid w:val="651F11E2"/>
    <w:rsid w:val="67923007"/>
    <w:rsid w:val="68BE7281"/>
    <w:rsid w:val="68C55D76"/>
    <w:rsid w:val="698748E2"/>
    <w:rsid w:val="6AEC25C3"/>
    <w:rsid w:val="6B9B7439"/>
    <w:rsid w:val="6C000DF4"/>
    <w:rsid w:val="6C785434"/>
    <w:rsid w:val="6D0A5F4C"/>
    <w:rsid w:val="6E2369A6"/>
    <w:rsid w:val="6EF053D4"/>
    <w:rsid w:val="72E716AC"/>
    <w:rsid w:val="787A73D4"/>
    <w:rsid w:val="789224E2"/>
    <w:rsid w:val="79B434AB"/>
    <w:rsid w:val="7A9924C7"/>
    <w:rsid w:val="7BE25111"/>
    <w:rsid w:val="7CC075B5"/>
    <w:rsid w:val="7CF24D11"/>
    <w:rsid w:val="7EFD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Emphasis"/>
    <w:basedOn w:val="7"/>
    <w:qFormat/>
    <w:uiPriority w:val="20"/>
    <w:rPr>
      <w:i/>
    </w:rPr>
  </w:style>
  <w:style w:type="character" w:customStyle="1" w:styleId="9">
    <w:name w:val="纯文本 字符"/>
    <w:basedOn w:val="7"/>
    <w:link w:val="2"/>
    <w:qFormat/>
    <w:uiPriority w:val="0"/>
    <w:rPr>
      <w:rFonts w:ascii="宋体" w:hAnsi="Courier New" w:eastAsia="宋体" w:cs="Times New Roman"/>
      <w:szCs w:val="21"/>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页眉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2390</Characters>
  <Lines>19</Lines>
  <Paragraphs>5</Paragraphs>
  <TotalTime>56</TotalTime>
  <ScaleCrop>false</ScaleCrop>
  <LinksUpToDate>false</LinksUpToDate>
  <CharactersWithSpaces>2804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2023-01-03T08:40:00Z</dcterms:created>
  <dc:creator>admin</dc:creator>
  <cp:lastModifiedBy>HASEE</cp:lastModifiedBy>
  <cp:lastPrinted>2023-01-12T05:06:00Z</cp:lastPrinted>
  <dcterms:modified xsi:type="dcterms:W3CDTF">2023-01-17T04:02:03Z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