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ascii="仿宋_GB2312" w:hAnsi="微软雅黑" w:eastAsia="仿宋_GB2312" w:cs="仿宋_GB2312"/>
          <w:i w:val="0"/>
          <w:caps w:val="0"/>
          <w:color w:val="404040"/>
          <w:spacing w:val="8"/>
          <w:sz w:val="25"/>
          <w:szCs w:val="25"/>
          <w:bdr w:val="none" w:color="auto" w:sz="0" w:space="0"/>
          <w:shd w:val="clear" w:fill="FFFFFF"/>
        </w:rPr>
      </w:pPr>
      <w:r>
        <w:rPr>
          <w:rFonts w:ascii="微软雅黑" w:hAnsi="微软雅黑" w:eastAsia="微软雅黑" w:cs="微软雅黑"/>
          <w:i w:val="0"/>
          <w:caps w:val="0"/>
          <w:color w:val="333333"/>
          <w:spacing w:val="0"/>
          <w:sz w:val="33"/>
          <w:szCs w:val="33"/>
          <w:shd w:val="clear" w:fill="FFFFFF"/>
        </w:rPr>
        <w:t>中关村科技园区东城园管理委员会2022年政府信息公开工作年度报告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ascii="微软雅黑" w:hAnsi="微软雅黑" w:eastAsia="微软雅黑" w:cs="微软雅黑"/>
          <w:i w:val="0"/>
          <w:caps w:val="0"/>
          <w:color w:val="404040"/>
          <w:spacing w:val="0"/>
          <w:sz w:val="19"/>
          <w:szCs w:val="19"/>
        </w:rPr>
      </w:pPr>
      <w:r>
        <w:rPr>
          <w:rFonts w:ascii="仿宋_GB2312" w:hAnsi="微软雅黑" w:eastAsia="仿宋_GB2312" w:cs="仿宋_GB2312"/>
          <w:i w:val="0"/>
          <w:caps w:val="0"/>
          <w:color w:val="404040"/>
          <w:spacing w:val="8"/>
          <w:sz w:val="25"/>
          <w:szCs w:val="25"/>
          <w:bdr w:val="none" w:color="auto" w:sz="0" w:space="0"/>
          <w:shd w:val="clear" w:fill="FFFFFF"/>
        </w:rPr>
        <w:t>依据《中华人民共和国政府信息公开条例》(以下简称《政府信息公开条例》)第五十条规定，编制本报告。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ascii="黑体" w:hAnsi="宋体" w:eastAsia="黑体" w:cs="黑体"/>
          <w:i w:val="0"/>
          <w:caps w:val="0"/>
          <w:color w:val="404040"/>
          <w:spacing w:val="8"/>
          <w:sz w:val="25"/>
          <w:szCs w:val="25"/>
          <w:bdr w:val="none" w:color="auto" w:sz="0" w:space="0"/>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ascii="楷体" w:hAnsi="楷体" w:eastAsia="楷体" w:cs="楷体"/>
          <w:i w:val="0"/>
          <w:caps w:val="0"/>
          <w:color w:val="404040"/>
          <w:spacing w:val="8"/>
          <w:sz w:val="25"/>
          <w:szCs w:val="25"/>
          <w:bdr w:val="none" w:color="auto" w:sz="0" w:space="0"/>
          <w:shd w:val="clear" w:fill="FFFFFF"/>
        </w:rPr>
        <w:t>（一）</w:t>
      </w:r>
      <w:r>
        <w:rPr>
          <w:rFonts w:hint="eastAsia" w:ascii="楷体" w:hAnsi="楷体" w:eastAsia="楷体" w:cs="楷体"/>
          <w:i w:val="0"/>
          <w:caps w:val="0"/>
          <w:color w:val="404040"/>
          <w:spacing w:val="8"/>
          <w:sz w:val="25"/>
          <w:szCs w:val="25"/>
          <w:bdr w:val="none" w:color="auto" w:sz="0" w:space="0"/>
          <w:shd w:val="clear" w:fill="FFFFFF"/>
        </w:rPr>
        <w:t>持续完善工作机制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8"/>
          <w:sz w:val="25"/>
          <w:szCs w:val="25"/>
          <w:bdr w:val="none" w:color="auto" w:sz="0" w:space="0"/>
          <w:shd w:val="clear" w:fill="FFFFFF"/>
        </w:rPr>
        <w:t>一是完善组织架构和工作流程。</w:t>
      </w:r>
      <w:r>
        <w:rPr>
          <w:rFonts w:hint="eastAsia" w:ascii="仿宋_GB2312" w:hAnsi="微软雅黑" w:eastAsia="仿宋_GB2312" w:cs="仿宋_GB2312"/>
          <w:i w:val="0"/>
          <w:caps w:val="0"/>
          <w:color w:val="404040"/>
          <w:spacing w:val="8"/>
          <w:sz w:val="25"/>
          <w:szCs w:val="25"/>
          <w:shd w:val="clear" w:fill="FFFFFF"/>
        </w:rPr>
        <w:t>制定《东城园管委会政府网站、微信公众号信息发布流程管理办法》，规定了发布内容、发布流程、文件管理等内容，提升政府网站、微信公众号外宣渠道的安全性、权威性及服务功能。</w:t>
      </w:r>
      <w:r>
        <w:rPr>
          <w:rFonts w:hint="eastAsia" w:ascii="仿宋_GB2312" w:hAnsi="微软雅黑" w:eastAsia="仿宋_GB2312" w:cs="仿宋_GB2312"/>
          <w:i w:val="0"/>
          <w:caps w:val="0"/>
          <w:color w:val="404040"/>
          <w:spacing w:val="8"/>
          <w:sz w:val="25"/>
          <w:szCs w:val="25"/>
          <w:bdr w:val="none" w:color="auto" w:sz="0" w:space="0"/>
          <w:shd w:val="clear" w:fill="FFFFFF"/>
          <w:lang w:eastAsia="zh-CN"/>
        </w:rPr>
        <w:t>二是</w:t>
      </w:r>
      <w:r>
        <w:rPr>
          <w:rFonts w:hint="eastAsia" w:ascii="仿宋_GB2312" w:hAnsi="微软雅黑" w:eastAsia="仿宋_GB2312" w:cs="仿宋_GB2312"/>
          <w:i w:val="0"/>
          <w:caps w:val="0"/>
          <w:color w:val="404040"/>
          <w:spacing w:val="8"/>
          <w:sz w:val="25"/>
          <w:szCs w:val="25"/>
          <w:bdr w:val="none" w:color="auto" w:sz="0" w:space="0"/>
          <w:shd w:val="clear" w:fill="FFFFFF"/>
        </w:rPr>
        <w:t>针对绩效考核中存在的问题，召开主任办公会认真研究抓好整改</w:t>
      </w:r>
      <w:r>
        <w:rPr>
          <w:rFonts w:hint="eastAsia" w:ascii="仿宋_GB2312" w:hAnsi="微软雅黑" w:eastAsia="仿宋_GB2312" w:cs="仿宋_GB2312"/>
          <w:i w:val="0"/>
          <w:caps w:val="0"/>
          <w:color w:val="404040"/>
          <w:spacing w:val="8"/>
          <w:sz w:val="25"/>
          <w:szCs w:val="25"/>
          <w:bdr w:val="none" w:color="auto" w:sz="0" w:space="0"/>
          <w:shd w:val="clear" w:fill="FFFFFF"/>
          <w:lang w:eastAsia="zh-CN"/>
        </w:rPr>
        <w:t>。三是</w:t>
      </w:r>
      <w:r>
        <w:rPr>
          <w:rFonts w:hint="eastAsia" w:ascii="仿宋_GB2312" w:hAnsi="微软雅黑" w:eastAsia="仿宋_GB2312" w:cs="仿宋_GB2312"/>
          <w:i w:val="0"/>
          <w:caps w:val="0"/>
          <w:color w:val="404040"/>
          <w:spacing w:val="8"/>
          <w:sz w:val="25"/>
          <w:szCs w:val="25"/>
          <w:shd w:val="clear" w:fill="FFFFFF"/>
        </w:rPr>
        <w:t>组织</w:t>
      </w:r>
      <w:r>
        <w:rPr>
          <w:rFonts w:hint="eastAsia" w:ascii="仿宋_GB2312" w:hAnsi="微软雅黑" w:eastAsia="仿宋_GB2312" w:cs="仿宋_GB2312"/>
          <w:i w:val="0"/>
          <w:caps w:val="0"/>
          <w:color w:val="404040"/>
          <w:spacing w:val="8"/>
          <w:sz w:val="25"/>
          <w:szCs w:val="25"/>
          <w:bdr w:val="none" w:color="auto" w:sz="0" w:space="0"/>
          <w:shd w:val="clear" w:fill="FFFFFF"/>
        </w:rPr>
        <w:t>参加依申请公开和新媒体工作等业务培训，学习信息公开工作的要求和最新政策，工作人员的业务能力不断提高。</w:t>
      </w:r>
      <w:r>
        <w:rPr>
          <w:rFonts w:hint="eastAsia" w:ascii="仿宋_GB2312" w:hAnsi="微软雅黑" w:eastAsia="仿宋_GB2312" w:cs="仿宋_GB2312"/>
          <w:i w:val="0"/>
          <w:caps w:val="0"/>
          <w:color w:val="404040"/>
          <w:spacing w:val="8"/>
          <w:sz w:val="25"/>
          <w:szCs w:val="25"/>
          <w:bdr w:val="none" w:color="auto" w:sz="0" w:space="0"/>
          <w:shd w:val="clear" w:fill="FFFFFF"/>
          <w:lang w:eastAsia="zh-CN"/>
        </w:rPr>
        <w:t>四是</w:t>
      </w:r>
      <w:r>
        <w:rPr>
          <w:rFonts w:hint="eastAsia" w:ascii="仿宋_GB2312" w:hAnsi="微软雅黑" w:eastAsia="仿宋_GB2312" w:cs="仿宋_GB2312"/>
          <w:i w:val="0"/>
          <w:caps w:val="0"/>
          <w:color w:val="404040"/>
          <w:spacing w:val="8"/>
          <w:sz w:val="25"/>
          <w:szCs w:val="25"/>
          <w:bdr w:val="none" w:color="auto" w:sz="0" w:space="0"/>
          <w:shd w:val="clear" w:fill="FFFFFF"/>
        </w:rPr>
        <w:t>不断完善各项保障工作</w:t>
      </w:r>
      <w:r>
        <w:rPr>
          <w:rFonts w:hint="eastAsia" w:ascii="仿宋_GB2312" w:hAnsi="微软雅黑" w:eastAsia="仿宋_GB2312" w:cs="仿宋_GB2312"/>
          <w:i w:val="0"/>
          <w:caps w:val="0"/>
          <w:color w:val="404040"/>
          <w:spacing w:val="8"/>
          <w:sz w:val="25"/>
          <w:szCs w:val="25"/>
          <w:bdr w:val="none" w:color="auto" w:sz="0" w:space="0"/>
          <w:shd w:val="clear" w:fill="FFFFFF"/>
          <w:lang w:eastAsia="zh-CN"/>
        </w:rPr>
        <w:t>，</w:t>
      </w:r>
      <w:r>
        <w:rPr>
          <w:rFonts w:hint="eastAsia" w:ascii="仿宋_GB2312" w:hAnsi="微软雅黑" w:eastAsia="仿宋_GB2312" w:cs="仿宋_GB2312"/>
          <w:i w:val="0"/>
          <w:caps w:val="0"/>
          <w:color w:val="404040"/>
          <w:spacing w:val="8"/>
          <w:sz w:val="25"/>
          <w:szCs w:val="25"/>
          <w:bdr w:val="none" w:color="auto" w:sz="0" w:space="0"/>
          <w:shd w:val="clear" w:fill="FFFFFF"/>
        </w:rPr>
        <w:t>向分管领导汇报工作开展具体情况8次，不断提高工作</w:t>
      </w:r>
      <w:r>
        <w:rPr>
          <w:rFonts w:hint="eastAsia" w:ascii="仿宋_GB2312" w:hAnsi="微软雅黑" w:eastAsia="仿宋_GB2312" w:cs="仿宋_GB2312"/>
          <w:i w:val="0"/>
          <w:caps w:val="0"/>
          <w:color w:val="404040"/>
          <w:spacing w:val="8"/>
          <w:sz w:val="25"/>
          <w:szCs w:val="25"/>
          <w:shd w:val="clear" w:fill="FFFFFF"/>
        </w:rPr>
        <w:t>监督</w:t>
      </w:r>
      <w:r>
        <w:rPr>
          <w:rFonts w:hint="eastAsia" w:ascii="仿宋_GB2312" w:hAnsi="微软雅黑" w:eastAsia="仿宋_GB2312" w:cs="仿宋_GB2312"/>
          <w:i w:val="0"/>
          <w:caps w:val="0"/>
          <w:color w:val="404040"/>
          <w:spacing w:val="8"/>
          <w:sz w:val="25"/>
          <w:szCs w:val="25"/>
          <w:bdr w:val="none" w:color="auto" w:sz="0" w:space="0"/>
          <w:shd w:val="clear" w:fill="FFFFFF"/>
        </w:rPr>
        <w:t>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楷体" w:hAnsi="楷体" w:eastAsia="楷体" w:cs="楷体"/>
          <w:b w:val="0"/>
          <w:i w:val="0"/>
          <w:caps w:val="0"/>
          <w:color w:val="404040"/>
          <w:spacing w:val="8"/>
          <w:sz w:val="25"/>
          <w:szCs w:val="25"/>
          <w:bdr w:val="none" w:color="auto" w:sz="0" w:space="0"/>
          <w:shd w:val="clear" w:fill="FFFFFF"/>
        </w:rPr>
        <w:t>（</w:t>
      </w:r>
      <w:r>
        <w:rPr>
          <w:rFonts w:hint="eastAsia" w:ascii="楷体" w:hAnsi="楷体" w:eastAsia="楷体" w:cs="楷体"/>
          <w:b w:val="0"/>
          <w:i w:val="0"/>
          <w:caps w:val="0"/>
          <w:color w:val="404040"/>
          <w:spacing w:val="8"/>
          <w:sz w:val="25"/>
          <w:szCs w:val="25"/>
          <w:bdr w:val="none" w:color="auto" w:sz="0" w:space="0"/>
          <w:shd w:val="clear" w:fill="FFFFFF"/>
          <w:lang w:eastAsia="zh-CN"/>
        </w:rPr>
        <w:t>二</w:t>
      </w:r>
      <w:r>
        <w:rPr>
          <w:rFonts w:hint="eastAsia" w:ascii="楷体" w:hAnsi="楷体" w:eastAsia="楷体" w:cs="楷体"/>
          <w:b w:val="0"/>
          <w:i w:val="0"/>
          <w:caps w:val="0"/>
          <w:color w:val="404040"/>
          <w:spacing w:val="8"/>
          <w:sz w:val="25"/>
          <w:szCs w:val="25"/>
          <w:bdr w:val="none" w:color="auto" w:sz="0" w:space="0"/>
          <w:shd w:val="clear" w:fill="FFFFFF"/>
        </w:rPr>
        <w:t>）对2022年政务公开工作要点的落实情况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仿宋_GB2312" w:hAnsi="微软雅黑" w:eastAsia="仿宋_GB2312" w:cs="仿宋_GB2312"/>
          <w:i w:val="0"/>
          <w:caps w:val="0"/>
          <w:color w:val="404040"/>
          <w:spacing w:val="8"/>
          <w:sz w:val="25"/>
          <w:szCs w:val="25"/>
          <w:shd w:val="clear" w:fill="FFFFFF"/>
        </w:rPr>
      </w:pPr>
      <w:r>
        <w:rPr>
          <w:rFonts w:hint="eastAsia" w:ascii="仿宋_GB2312" w:hAnsi="微软雅黑" w:eastAsia="仿宋_GB2312" w:cs="仿宋_GB2312"/>
          <w:i w:val="0"/>
          <w:caps w:val="0"/>
          <w:color w:val="404040"/>
          <w:spacing w:val="8"/>
          <w:sz w:val="25"/>
          <w:szCs w:val="25"/>
          <w:bdr w:val="none" w:color="auto" w:sz="0" w:space="0"/>
          <w:shd w:val="clear" w:fill="FFFFFF"/>
          <w:lang w:eastAsia="zh-CN"/>
        </w:rPr>
        <w:t>一是不断加大信息公开的力度</w:t>
      </w:r>
      <w:r>
        <w:rPr>
          <w:rFonts w:hint="eastAsia" w:ascii="仿宋_GB2312" w:hAnsi="微软雅黑" w:eastAsia="仿宋_GB2312" w:cs="仿宋_GB2312"/>
          <w:i w:val="0"/>
          <w:caps w:val="0"/>
          <w:color w:val="404040"/>
          <w:spacing w:val="8"/>
          <w:sz w:val="25"/>
          <w:szCs w:val="25"/>
          <w:bdr w:val="none" w:color="auto" w:sz="0" w:space="0"/>
          <w:shd w:val="clear" w:fill="FFFFFF"/>
        </w:rPr>
        <w:t>。在航星园举行《中关村东城园创新型高成长企业培育计划》（即“紫金计划”）启动</w:t>
      </w:r>
      <w:r>
        <w:rPr>
          <w:rFonts w:hint="eastAsia" w:ascii="仿宋_GB2312" w:hAnsi="微软雅黑" w:eastAsia="仿宋_GB2312" w:cs="仿宋_GB2312"/>
          <w:i w:val="0"/>
          <w:caps w:val="0"/>
          <w:color w:val="404040"/>
          <w:spacing w:val="8"/>
          <w:sz w:val="25"/>
          <w:szCs w:val="25"/>
          <w:shd w:val="clear" w:fill="FFFFFF"/>
        </w:rPr>
        <w:t>仪式，推介发布园区专属政策《北京市东城区支持中关村科技园区东城园产业升级和创新发展的若干措施（试行）》和紫金计划。</w:t>
      </w:r>
      <w:r>
        <w:rPr>
          <w:rFonts w:hint="eastAsia" w:ascii="仿宋_GB2312" w:hAnsi="微软雅黑" w:eastAsia="仿宋_GB2312" w:cs="仿宋_GB2312"/>
          <w:i w:val="0"/>
          <w:caps w:val="0"/>
          <w:color w:val="404040"/>
          <w:spacing w:val="8"/>
          <w:sz w:val="25"/>
          <w:szCs w:val="25"/>
          <w:shd w:val="clear" w:fill="FFFFFF"/>
          <w:lang w:eastAsia="zh-CN"/>
        </w:rPr>
        <w:t>二是</w:t>
      </w:r>
      <w:r>
        <w:rPr>
          <w:rFonts w:hint="eastAsia" w:ascii="仿宋_GB2312" w:hAnsi="微软雅黑" w:eastAsia="仿宋_GB2312" w:cs="仿宋_GB2312"/>
          <w:i w:val="0"/>
          <w:caps w:val="0"/>
          <w:color w:val="404040"/>
          <w:spacing w:val="8"/>
          <w:sz w:val="25"/>
          <w:szCs w:val="25"/>
          <w:shd w:val="clear" w:fill="FFFFFF"/>
        </w:rPr>
        <w:t>对企业进行中关村特色园政策宣传，引导产业园区发展定位，提升申报率。</w:t>
      </w:r>
      <w:r>
        <w:rPr>
          <w:rFonts w:hint="default" w:ascii="仿宋_GB2312" w:hAnsi="微软雅黑" w:eastAsia="仿宋_GB2312" w:cs="仿宋_GB2312"/>
          <w:i w:val="0"/>
          <w:caps w:val="0"/>
          <w:color w:val="404040"/>
          <w:spacing w:val="8"/>
          <w:sz w:val="25"/>
          <w:szCs w:val="25"/>
          <w:shd w:val="clear" w:fill="FFFFFF"/>
        </w:rPr>
        <w:t>通过多种途径向企业宣传高新</w:t>
      </w:r>
      <w:r>
        <w:rPr>
          <w:rFonts w:hint="eastAsia" w:ascii="仿宋_GB2312" w:hAnsi="微软雅黑" w:eastAsia="仿宋_GB2312" w:cs="仿宋_GB2312"/>
          <w:i w:val="0"/>
          <w:caps w:val="0"/>
          <w:color w:val="404040"/>
          <w:spacing w:val="8"/>
          <w:sz w:val="25"/>
          <w:szCs w:val="25"/>
          <w:shd w:val="clear" w:fill="FFFFFF"/>
        </w:rPr>
        <w:t>企业</w:t>
      </w:r>
      <w:r>
        <w:rPr>
          <w:rFonts w:hint="default" w:ascii="仿宋_GB2312" w:hAnsi="微软雅黑" w:eastAsia="仿宋_GB2312" w:cs="仿宋_GB2312"/>
          <w:i w:val="0"/>
          <w:caps w:val="0"/>
          <w:color w:val="404040"/>
          <w:spacing w:val="8"/>
          <w:sz w:val="25"/>
          <w:szCs w:val="25"/>
          <w:shd w:val="clear" w:fill="FFFFFF"/>
        </w:rPr>
        <w:t>办理政策，高质量做好高新技术企业认定工作</w:t>
      </w:r>
      <w:r>
        <w:rPr>
          <w:rFonts w:hint="eastAsia" w:ascii="仿宋_GB2312" w:hAnsi="微软雅黑" w:eastAsia="仿宋_GB2312" w:cs="仿宋_GB2312"/>
          <w:i w:val="0"/>
          <w:caps w:val="0"/>
          <w:color w:val="404040"/>
          <w:spacing w:val="8"/>
          <w:sz w:val="25"/>
          <w:szCs w:val="25"/>
          <w:shd w:val="clear" w:fill="FFFFFF"/>
        </w:rPr>
        <w:t>。</w:t>
      </w:r>
      <w:r>
        <w:rPr>
          <w:rFonts w:hint="eastAsia" w:ascii="仿宋_GB2312" w:hAnsi="微软雅黑" w:eastAsia="仿宋_GB2312" w:cs="仿宋_GB2312"/>
          <w:i w:val="0"/>
          <w:caps w:val="0"/>
          <w:color w:val="404040"/>
          <w:spacing w:val="8"/>
          <w:sz w:val="25"/>
          <w:szCs w:val="25"/>
          <w:shd w:val="clear" w:fill="FFFFFF"/>
          <w:lang w:eastAsia="zh-CN"/>
        </w:rPr>
        <w:t>三是</w:t>
      </w:r>
      <w:r>
        <w:rPr>
          <w:rFonts w:hint="eastAsia" w:ascii="仿宋_GB2312" w:hAnsi="微软雅黑" w:eastAsia="仿宋_GB2312" w:cs="仿宋_GB2312"/>
          <w:i w:val="0"/>
          <w:caps w:val="0"/>
          <w:color w:val="404040"/>
          <w:spacing w:val="8"/>
          <w:sz w:val="25"/>
          <w:szCs w:val="25"/>
          <w:shd w:val="clear" w:fill="FFFFFF"/>
        </w:rPr>
        <w:t>充分发挥知识产权服务管家专业优势，对园区高新企业开展知识产权政策培训3场。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bookmarkStart w:id="0" w:name="_GoBack"/>
      <w:bookmarkEnd w:id="0"/>
      <w:r>
        <w:rPr>
          <w:rFonts w:hint="eastAsia" w:ascii="楷体" w:hAnsi="楷体" w:eastAsia="楷体" w:cs="楷体"/>
          <w:i w:val="0"/>
          <w:caps w:val="0"/>
          <w:color w:val="404040"/>
          <w:spacing w:val="8"/>
          <w:sz w:val="25"/>
          <w:szCs w:val="25"/>
          <w:bdr w:val="none" w:color="auto" w:sz="0" w:space="0"/>
          <w:shd w:val="clear" w:fill="FFFFFF"/>
        </w:rPr>
        <w:t>（</w:t>
      </w:r>
      <w:r>
        <w:rPr>
          <w:rFonts w:hint="eastAsia" w:ascii="楷体" w:hAnsi="楷体" w:eastAsia="楷体" w:cs="楷体"/>
          <w:i w:val="0"/>
          <w:caps w:val="0"/>
          <w:color w:val="404040"/>
          <w:spacing w:val="8"/>
          <w:sz w:val="25"/>
          <w:szCs w:val="25"/>
          <w:bdr w:val="none" w:color="auto" w:sz="0" w:space="0"/>
          <w:shd w:val="clear" w:fill="FFFFFF"/>
          <w:lang w:eastAsia="zh-CN"/>
        </w:rPr>
        <w:t>三</w:t>
      </w:r>
      <w:r>
        <w:rPr>
          <w:rFonts w:hint="eastAsia" w:ascii="楷体" w:hAnsi="楷体" w:eastAsia="楷体" w:cs="楷体"/>
          <w:i w:val="0"/>
          <w:caps w:val="0"/>
          <w:color w:val="404040"/>
          <w:spacing w:val="8"/>
          <w:sz w:val="25"/>
          <w:szCs w:val="25"/>
          <w:bdr w:val="none" w:color="auto" w:sz="0" w:space="0"/>
          <w:shd w:val="clear" w:fill="FFFFFF"/>
        </w:rPr>
        <w:t>）主动公开情况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8"/>
          <w:sz w:val="25"/>
          <w:szCs w:val="25"/>
          <w:bdr w:val="none" w:color="auto" w:sz="0" w:space="0"/>
          <w:shd w:val="clear" w:fill="FFFFFF"/>
        </w:rPr>
        <w:t>主动公开的政府信息主要包括组织机构、工作动态、财政预决算、年度工作报告等共计80余条。报送区政府政务信息143条，完成季度“六费公开”的公示上报工作。完成政策解读3项，开展网上意见征集2项，开展开放日活动1次，动态更新领导介绍信息8条。按月报送信息公开信息统计情况，按季度报送行政诉讼败诉案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楷体" w:hAnsi="楷体" w:eastAsia="楷体" w:cs="楷体"/>
          <w:i w:val="0"/>
          <w:caps w:val="0"/>
          <w:color w:val="404040"/>
          <w:spacing w:val="8"/>
          <w:sz w:val="25"/>
          <w:szCs w:val="25"/>
          <w:bdr w:val="none" w:color="auto" w:sz="0" w:space="0"/>
          <w:shd w:val="clear" w:fill="FFFFFF"/>
        </w:rPr>
        <w:t>（</w:t>
      </w:r>
      <w:r>
        <w:rPr>
          <w:rFonts w:hint="eastAsia" w:ascii="楷体" w:hAnsi="楷体" w:eastAsia="楷体" w:cs="楷体"/>
          <w:i w:val="0"/>
          <w:caps w:val="0"/>
          <w:color w:val="404040"/>
          <w:spacing w:val="8"/>
          <w:sz w:val="25"/>
          <w:szCs w:val="25"/>
          <w:bdr w:val="none" w:color="auto" w:sz="0" w:space="0"/>
          <w:shd w:val="clear" w:fill="FFFFFF"/>
          <w:lang w:eastAsia="zh-CN"/>
        </w:rPr>
        <w:t>四</w:t>
      </w:r>
      <w:r>
        <w:rPr>
          <w:rFonts w:hint="eastAsia" w:ascii="楷体" w:hAnsi="楷体" w:eastAsia="楷体" w:cs="楷体"/>
          <w:i w:val="0"/>
          <w:caps w:val="0"/>
          <w:color w:val="404040"/>
          <w:spacing w:val="8"/>
          <w:sz w:val="25"/>
          <w:szCs w:val="25"/>
          <w:bdr w:val="none" w:color="auto" w:sz="0" w:space="0"/>
          <w:shd w:val="clear" w:fill="FFFFFF"/>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8"/>
          <w:sz w:val="25"/>
          <w:szCs w:val="25"/>
          <w:bdr w:val="none" w:color="auto" w:sz="0" w:space="0"/>
          <w:shd w:val="clear" w:fill="FFFFFF"/>
        </w:rPr>
        <w:t>办理依申请公开1项，主要涉及中关村东城园创新型高成长企业培育计划，《中关村东城园创新型高成长企业培育计划》于2022年6月13日由中关村科技园区东城园管理委员会印发，以邮寄方式将材料寄送申请人。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楷体" w:hAnsi="楷体" w:eastAsia="楷体" w:cs="楷体"/>
          <w:i w:val="0"/>
          <w:caps w:val="0"/>
          <w:color w:val="404040"/>
          <w:spacing w:val="8"/>
          <w:sz w:val="25"/>
          <w:szCs w:val="25"/>
          <w:bdr w:val="none" w:color="auto" w:sz="0" w:space="0"/>
          <w:shd w:val="clear" w:fill="FFFFFF"/>
        </w:rPr>
        <w:t>（</w:t>
      </w:r>
      <w:r>
        <w:rPr>
          <w:rFonts w:hint="eastAsia" w:ascii="楷体" w:hAnsi="楷体" w:eastAsia="楷体" w:cs="楷体"/>
          <w:i w:val="0"/>
          <w:caps w:val="0"/>
          <w:color w:val="404040"/>
          <w:spacing w:val="8"/>
          <w:sz w:val="25"/>
          <w:szCs w:val="25"/>
          <w:bdr w:val="none" w:color="auto" w:sz="0" w:space="0"/>
          <w:shd w:val="clear" w:fill="FFFFFF"/>
          <w:lang w:eastAsia="zh-CN"/>
        </w:rPr>
        <w:t>五</w:t>
      </w:r>
      <w:r>
        <w:rPr>
          <w:rFonts w:hint="eastAsia" w:ascii="楷体" w:hAnsi="楷体" w:eastAsia="楷体" w:cs="楷体"/>
          <w:i w:val="0"/>
          <w:caps w:val="0"/>
          <w:color w:val="404040"/>
          <w:spacing w:val="8"/>
          <w:sz w:val="25"/>
          <w:szCs w:val="25"/>
          <w:bdr w:val="none" w:color="auto" w:sz="0" w:space="0"/>
          <w:shd w:val="clear" w:fill="FFFFFF"/>
        </w:rPr>
        <w:t>）行政复议、诉讼及举报情况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36" w:firstLineChars="200"/>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8"/>
          <w:sz w:val="25"/>
          <w:szCs w:val="25"/>
          <w:bdr w:val="none" w:color="auto" w:sz="0" w:space="0"/>
          <w:shd w:val="clear" w:fill="FFFFFF"/>
        </w:rPr>
        <w:t>2022年度无行政复议、诉讼及举报情况。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rPr>
          <w:rFonts w:hint="eastAsia" w:ascii="微软雅黑" w:hAnsi="微软雅黑" w:eastAsia="微软雅黑" w:cs="微软雅黑"/>
          <w:i w:val="0"/>
          <w:caps w:val="0"/>
          <w:color w:val="404040"/>
          <w:spacing w:val="0"/>
          <w:sz w:val="19"/>
          <w:szCs w:val="19"/>
        </w:rPr>
      </w:pPr>
      <w:r>
        <w:rPr>
          <w:rFonts w:hint="eastAsia" w:ascii="黑体" w:hAnsi="宋体" w:eastAsia="黑体" w:cs="黑体"/>
          <w:i w:val="0"/>
          <w:caps w:val="0"/>
          <w:color w:val="404040"/>
          <w:spacing w:val="0"/>
          <w:sz w:val="25"/>
          <w:szCs w:val="25"/>
          <w:bdr w:val="none" w:color="auto" w:sz="0" w:space="0"/>
          <w:shd w:val="clear" w:fill="FFFFFF"/>
        </w:rPr>
        <w:t>二、主动公开政府信息情况</w:t>
      </w:r>
    </w:p>
    <w:tbl>
      <w:tblPr>
        <w:tblW w:w="9740" w:type="dxa"/>
        <w:jc w:val="center"/>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现行有效件</w:t>
            </w:r>
            <w:r>
              <w:rPr>
                <w:rFonts w:hint="eastAsia" w:ascii="宋体" w:hAnsi="宋体" w:eastAsia="宋体" w:cs="宋体"/>
                <w:i w:val="0"/>
                <w:caps w:val="0"/>
                <w:color w:val="404040"/>
                <w:spacing w:val="0"/>
                <w:sz w:val="15"/>
                <w:szCs w:val="15"/>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6"/>
                <w:szCs w:val="16"/>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6"/>
                <w:szCs w:val="16"/>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6"/>
                <w:szCs w:val="16"/>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000000"/>
                <w:spacing w:val="0"/>
                <w:sz w:val="15"/>
                <w:szCs w:val="15"/>
                <w:bdr w:val="none" w:color="auto" w:sz="0" w:space="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000000"/>
                <w:spacing w:val="0"/>
                <w:sz w:val="15"/>
                <w:szCs w:val="15"/>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15"/>
                <w:szCs w:val="15"/>
                <w:bdr w:val="none" w:color="auto" w:sz="0" w:space="0"/>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pPr>
            <w:r>
              <w:rPr>
                <w:rFonts w:hint="eastAsia" w:ascii="宋体" w:hAnsi="宋体" w:eastAsia="宋体" w:cs="宋体"/>
                <w:i w:val="0"/>
                <w:caps w:val="0"/>
                <w:color w:val="404040"/>
                <w:spacing w:val="0"/>
                <w:sz w:val="19"/>
                <w:szCs w:val="19"/>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rPr>
          <w:rFonts w:hint="eastAsia" w:ascii="微软雅黑" w:hAnsi="微软雅黑" w:eastAsia="微软雅黑" w:cs="微软雅黑"/>
          <w:i w:val="0"/>
          <w:caps w:val="0"/>
          <w:color w:val="404040"/>
          <w:spacing w:val="0"/>
          <w:sz w:val="19"/>
          <w:szCs w:val="19"/>
        </w:rPr>
      </w:pPr>
      <w:r>
        <w:rPr>
          <w:rFonts w:hint="eastAsia" w:ascii="黑体" w:hAnsi="宋体" w:eastAsia="黑体" w:cs="黑体"/>
          <w:i w:val="0"/>
          <w:caps w:val="0"/>
          <w:color w:val="404040"/>
          <w:spacing w:val="0"/>
          <w:sz w:val="25"/>
          <w:szCs w:val="25"/>
          <w:bdr w:val="none" w:color="auto" w:sz="0" w:space="0"/>
          <w:shd w:val="clear" w:fill="FFFFFF"/>
        </w:rPr>
        <w:t>三、收到和处理政府信息公开申请情况</w:t>
      </w:r>
    </w:p>
    <w:tbl>
      <w:tblPr>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404040"/>
                <w:spacing w:val="0"/>
                <w:sz w:val="15"/>
                <w:szCs w:val="15"/>
                <w:bdr w:val="none" w:color="auto" w:sz="0" w:space="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88" w:type="dxa"/>
            <w:vMerge w:val="continue"/>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04040"/>
                <w:spacing w:val="0"/>
                <w:sz w:val="15"/>
                <w:szCs w:val="15"/>
                <w:bdr w:val="none" w:color="auto" w:sz="0" w:space="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一、本年新收政府信息公开申请数量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二、上年结转政府信息公开申请数量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（一）予以公开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（二）部分公开</w:t>
            </w:r>
            <w:r>
              <w:rPr>
                <w:rFonts w:hint="eastAsia" w:ascii="楷体" w:hAnsi="楷体" w:eastAsia="楷体" w:cs="楷体"/>
                <w:i w:val="0"/>
                <w:caps w:val="0"/>
                <w:color w:val="404040"/>
                <w:spacing w:val="0"/>
                <w:sz w:val="15"/>
                <w:szCs w:val="15"/>
                <w:bdr w:val="none" w:color="auto" w:sz="0" w:space="0"/>
              </w:rPr>
              <w:t>（区分处理的，只计这一情形，不计其他情形）</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1.属于国家秘密</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2.其他法律行政法规禁止公开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3.危及“三安全一稳定”</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4.保护第三方合法权益</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5.属于三类内部事务信息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6.属于四类过程性信息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7.属于行政执法案卷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8.属于行政查询事项</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1.本机关不掌握相关政府信息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2.没有现成信息需要另行制作</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3.补正后申请内容仍不明确</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1.信访举报投诉类申请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2.重复申请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3.要求提供公开出版物</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4.无正当理由大量反复申请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404040"/>
                <w:spacing w:val="0"/>
                <w:sz w:val="15"/>
                <w:szCs w:val="15"/>
                <w:bdr w:val="none" w:color="auto" w:sz="0" w:space="0"/>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404040"/>
                <w:spacing w:val="0"/>
                <w:sz w:val="15"/>
                <w:szCs w:val="15"/>
                <w:bdr w:val="none" w:color="auto" w:sz="0" w:space="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404040"/>
                <w:spacing w:val="0"/>
                <w:sz w:val="15"/>
                <w:szCs w:val="15"/>
                <w:bdr w:val="none" w:color="auto" w:sz="0" w:space="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3.其他</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caps w:val="0"/>
                <w:color w:val="404040"/>
                <w:spacing w:val="0"/>
                <w:sz w:val="19"/>
                <w:szCs w:val="19"/>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（七）总计</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404040"/>
                <w:spacing w:val="0"/>
                <w:sz w:val="15"/>
                <w:szCs w:val="15"/>
                <w:bdr w:val="none" w:color="auto" w:sz="0" w:space="0"/>
              </w:rPr>
              <w:t>四、结转下年度继续办理</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8"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c>
          <w:tcPr>
            <w:tcW w:w="689"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caps w:val="0"/>
                <w:color w:val="000000"/>
                <w:spacing w:val="0"/>
                <w:sz w:val="15"/>
                <w:szCs w:val="15"/>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rPr>
          <w:rFonts w:hint="eastAsia" w:ascii="微软雅黑" w:hAnsi="微软雅黑" w:eastAsia="微软雅黑" w:cs="微软雅黑"/>
          <w:i w:val="0"/>
          <w:caps w:val="0"/>
          <w:color w:val="404040"/>
          <w:spacing w:val="0"/>
          <w:sz w:val="19"/>
          <w:szCs w:val="19"/>
        </w:rPr>
      </w:pPr>
      <w:r>
        <w:rPr>
          <w:rFonts w:hint="eastAsia" w:ascii="黑体" w:hAnsi="宋体" w:eastAsia="黑体" w:cs="黑体"/>
          <w:i w:val="0"/>
          <w:caps w:val="0"/>
          <w:color w:val="404040"/>
          <w:spacing w:val="0"/>
          <w:sz w:val="25"/>
          <w:szCs w:val="25"/>
          <w:bdr w:val="none" w:color="auto" w:sz="0" w:space="0"/>
          <w:shd w:val="clear" w:fill="FFFFFF"/>
        </w:rPr>
        <w:t>四、政府信息公开行政复议、行政诉讼情况</w:t>
      </w:r>
    </w:p>
    <w:tbl>
      <w:tblPr>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结果维持</w:t>
            </w:r>
          </w:p>
        </w:tc>
        <w:tc>
          <w:tcPr>
            <w:tcW w:w="64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结果纠正</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其他结果</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尚未审结</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4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404040"/>
                <w:spacing w:val="0"/>
                <w:sz w:val="19"/>
                <w:szCs w:val="19"/>
              </w:rPr>
            </w:pP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结果维持</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结果纠正</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其他结果</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尚未审结</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000000"/>
                <w:spacing w:val="0"/>
                <w:sz w:val="15"/>
                <w:szCs w:val="15"/>
                <w:bdr w:val="none" w:color="auto" w:sz="0" w:space="0"/>
              </w:rPr>
              <w:t>总计</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结果维持</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结果纠正</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000000"/>
                <w:spacing w:val="0"/>
                <w:sz w:val="15"/>
                <w:szCs w:val="15"/>
                <w:bdr w:val="none" w:color="auto" w:sz="0" w:space="0"/>
              </w:rPr>
              <w:t>其他结果</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404040"/>
                <w:spacing w:val="0"/>
                <w:sz w:val="15"/>
                <w:szCs w:val="15"/>
                <w:bdr w:val="none" w:color="auto" w:sz="0" w:space="0"/>
              </w:rPr>
              <w:t>尚未审结</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caps w:val="0"/>
                <w:color w:val="000000"/>
                <w:spacing w:val="0"/>
                <w:sz w:val="15"/>
                <w:szCs w:val="15"/>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黑体" w:hAnsi="宋体" w:eastAsia="黑体" w:cs="黑体"/>
                <w:i w:val="0"/>
                <w:caps w:val="0"/>
                <w:color w:val="000000"/>
                <w:spacing w:val="0"/>
                <w:sz w:val="15"/>
                <w:szCs w:val="15"/>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黑体" w:hAnsi="宋体" w:eastAsia="黑体" w:cs="黑体"/>
          <w:i w:val="0"/>
          <w:caps w:val="0"/>
          <w:color w:val="404040"/>
          <w:spacing w:val="8"/>
          <w:sz w:val="25"/>
          <w:szCs w:val="25"/>
          <w:bdr w:val="none" w:color="auto" w:sz="0" w:space="0"/>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8"/>
          <w:sz w:val="25"/>
          <w:szCs w:val="25"/>
          <w:bdr w:val="none" w:color="auto" w:sz="0" w:space="0"/>
          <w:shd w:val="clear" w:fill="FFFFFF"/>
        </w:rPr>
        <w:t>政府网站信息存在错敏字问题。领导高度重视，专门走访政务服务局政务公开科调研学习，听取业务指导和建议，协调委内处室共同研究形成机制，降低错敏字出现的频率。完善政务公开信息审核机制，制定《东城园管委会政府网站、微信公众号信息发布流程管理办法》，规定了内容审核的规范流程，由各处室、中心提供的信息内容由部门负责领导、主管领导进行审核，确保内容准确无误。加强学习教育，提高对政务公开工作重要性的认识，开展政府信息公开条例学习，提升公开工作水平和效率。对部门动态信息进行错敏字排查，对发现的问题及时清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5"/>
        <w:jc w:val="left"/>
        <w:textAlignment w:val="auto"/>
        <w:outlineLvl w:val="9"/>
        <w:rPr>
          <w:rFonts w:hint="eastAsia" w:ascii="微软雅黑" w:hAnsi="微软雅黑" w:eastAsia="微软雅黑" w:cs="微软雅黑"/>
          <w:i w:val="0"/>
          <w:caps w:val="0"/>
          <w:color w:val="404040"/>
          <w:spacing w:val="0"/>
          <w:sz w:val="19"/>
          <w:szCs w:val="19"/>
        </w:rPr>
      </w:pPr>
      <w:r>
        <w:rPr>
          <w:rFonts w:hint="eastAsia" w:ascii="黑体" w:hAnsi="宋体" w:eastAsia="黑体" w:cs="黑体"/>
          <w:i w:val="0"/>
          <w:caps w:val="0"/>
          <w:color w:val="404040"/>
          <w:spacing w:val="8"/>
          <w:sz w:val="25"/>
          <w:szCs w:val="25"/>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微软雅黑" w:hAnsi="微软雅黑" w:eastAsia="微软雅黑" w:cs="微软雅黑"/>
          <w:i w:val="0"/>
          <w:caps w:val="0"/>
          <w:color w:val="404040"/>
          <w:spacing w:val="0"/>
          <w:sz w:val="19"/>
          <w:szCs w:val="19"/>
        </w:rPr>
      </w:pPr>
      <w:r>
        <w:rPr>
          <w:rFonts w:hint="eastAsia" w:ascii="仿宋_GB2312" w:hAnsi="微软雅黑" w:eastAsia="仿宋_GB2312" w:cs="仿宋_GB2312"/>
          <w:i w:val="0"/>
          <w:caps w:val="0"/>
          <w:color w:val="404040"/>
          <w:spacing w:val="0"/>
          <w:sz w:val="25"/>
          <w:szCs w:val="25"/>
          <w:bdr w:val="none" w:color="auto" w:sz="0" w:space="0"/>
          <w:shd w:val="clear" w:fill="FFFFFF"/>
        </w:rPr>
        <w:t>本单位依据《政府信息公开信息处理费管理办法》收取信息处理费，发出收费通知的件数和总金额以及实际收取的总金额均为0。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24911"/>
    <w:rsid w:val="35141398"/>
    <w:rsid w:val="37C55008"/>
    <w:rsid w:val="37F24911"/>
    <w:rsid w:val="7802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2023-03-23T02:12:00Z</dcterms:created>
  <dc:creator>刘东维</dc:creator>
  <cp:lastModifiedBy>刘东维</cp:lastModifiedBy>
  <dcterms:modified xsi:type="dcterms:W3CDTF">2023-03-23T03:22:35Z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