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东城区投资促进服务中心</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b/>
          <w:bCs/>
          <w:color w:val="000000"/>
          <w:sz w:val="32"/>
          <w:szCs w:val="32"/>
          <w:highlight w:val="none"/>
        </w:rPr>
        <w:t>（一）总体情况</w:t>
      </w:r>
      <w:r>
        <w:rPr>
          <w:rFonts w:hint="eastAsia" w:ascii="仿宋_GB2312" w:hAnsi="仿宋_GB2312" w:eastAsia="仿宋_GB2312" w:cs="仿宋_GB2312"/>
          <w:b/>
          <w:bCs/>
          <w:spacing w:val="8"/>
          <w:kern w:val="0"/>
          <w:sz w:val="32"/>
          <w:szCs w:val="32"/>
        </w:rPr>
        <w:t>。</w:t>
      </w:r>
      <w:r>
        <w:rPr>
          <w:rFonts w:hint="eastAsia" w:ascii="仿宋_GB2312" w:hAnsi="仿宋_GB2312" w:eastAsia="仿宋_GB2312" w:cs="仿宋_GB2312"/>
          <w:spacing w:val="8"/>
          <w:kern w:val="0"/>
          <w:sz w:val="32"/>
          <w:szCs w:val="32"/>
          <w:lang w:eastAsia="zh-CN"/>
        </w:rPr>
        <w:t>为使政府信息公开工作有序运转，我中心</w:t>
      </w:r>
      <w:r>
        <w:rPr>
          <w:rFonts w:hint="eastAsia" w:ascii="仿宋_GB2312" w:hAnsi="仿宋_GB2312" w:eastAsia="仿宋_GB2312" w:cs="仿宋_GB2312"/>
          <w:spacing w:val="8"/>
          <w:kern w:val="0"/>
          <w:sz w:val="32"/>
          <w:szCs w:val="32"/>
        </w:rPr>
        <w:t>明确了政务公开工作领导小组</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lang w:val="en-US" w:eastAsia="zh-CN"/>
        </w:rPr>
        <w:t>明确负责政府信息公开工作的处级领导，由综合保障部负责政府信息公开工作并坚持重大信息主要领导审阅把关制度。</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75"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b/>
          <w:bCs/>
          <w:spacing w:val="8"/>
          <w:kern w:val="0"/>
          <w:sz w:val="32"/>
          <w:szCs w:val="32"/>
          <w:lang w:val="en-US" w:eastAsia="zh-CN"/>
        </w:rPr>
        <w:t>（</w:t>
      </w:r>
      <w:r>
        <w:rPr>
          <w:rFonts w:hint="eastAsia" w:ascii="仿宋_GB2312" w:hAnsi="仿宋_GB2312" w:eastAsia="仿宋_GB2312" w:cs="仿宋_GB2312"/>
          <w:b/>
          <w:bCs/>
          <w:spacing w:val="8"/>
          <w:kern w:val="0"/>
          <w:sz w:val="32"/>
          <w:szCs w:val="32"/>
        </w:rPr>
        <w:t>二</w:t>
      </w:r>
      <w:r>
        <w:rPr>
          <w:rFonts w:hint="eastAsia" w:ascii="仿宋_GB2312" w:hAnsi="仿宋_GB2312" w:eastAsia="仿宋_GB2312" w:cs="仿宋_GB2312"/>
          <w:b/>
          <w:bCs/>
          <w:spacing w:val="8"/>
          <w:kern w:val="0"/>
          <w:sz w:val="32"/>
          <w:szCs w:val="32"/>
          <w:lang w:eastAsia="zh-CN"/>
        </w:rPr>
        <w:t>）</w:t>
      </w:r>
      <w:r>
        <w:rPr>
          <w:rFonts w:hint="eastAsia" w:ascii="仿宋_GB2312" w:hAnsi="仿宋_GB2312" w:eastAsia="仿宋_GB2312" w:cs="仿宋_GB2312"/>
          <w:b/>
          <w:bCs/>
          <w:spacing w:val="8"/>
          <w:kern w:val="0"/>
          <w:sz w:val="32"/>
          <w:szCs w:val="32"/>
        </w:rPr>
        <w:t>是主动公开方面。</w:t>
      </w:r>
      <w:r>
        <w:rPr>
          <w:rFonts w:hint="eastAsia" w:ascii="仿宋_GB2312" w:hAnsi="仿宋_GB2312" w:eastAsia="仿宋_GB2312" w:cs="仿宋_GB2312"/>
          <w:i w:val="0"/>
          <w:iCs w:val="0"/>
          <w:caps w:val="0"/>
          <w:color w:val="auto"/>
          <w:spacing w:val="0"/>
          <w:sz w:val="32"/>
          <w:szCs w:val="32"/>
          <w:shd w:val="clear" w:color="auto" w:fill="auto"/>
          <w:lang w:eastAsia="zh-CN"/>
        </w:rPr>
        <w:t>我</w:t>
      </w:r>
      <w:r>
        <w:rPr>
          <w:rFonts w:hint="eastAsia" w:ascii="仿宋_GB2312" w:hAnsi="仿宋_GB2312" w:eastAsia="仿宋_GB2312" w:cs="仿宋_GB2312"/>
          <w:i w:val="0"/>
          <w:iCs w:val="0"/>
          <w:caps w:val="0"/>
          <w:color w:val="auto"/>
          <w:spacing w:val="0"/>
          <w:sz w:val="32"/>
          <w:szCs w:val="32"/>
          <w:shd w:val="clear" w:color="auto" w:fill="auto"/>
        </w:rPr>
        <w:t>中心主要通过数字东城网站公开办公地址、办公时间、联系方式,并专栏公开机关职能、内设机构、中心</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auto"/>
        </w:rPr>
        <w:t>领导信息、财政预算、决算等情况</w:t>
      </w:r>
      <w:r>
        <w:rPr>
          <w:rFonts w:hint="eastAsia" w:ascii="仿宋_GB2312" w:hAnsi="仿宋_GB2312" w:eastAsia="仿宋_GB2312" w:cs="仿宋_GB2312"/>
          <w:color w:val="auto"/>
          <w:spacing w:val="8"/>
          <w:kern w:val="0"/>
          <w:sz w:val="32"/>
          <w:szCs w:val="32"/>
          <w:shd w:val="clear" w:color="auto" w:fill="auto"/>
          <w:lang w:val="en-US" w:eastAsia="zh-CN"/>
        </w:rPr>
        <w:t>信息</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color w:val="auto"/>
          <w:spacing w:val="8"/>
          <w:kern w:val="0"/>
          <w:sz w:val="32"/>
          <w:szCs w:val="32"/>
          <w:lang w:eastAsia="zh-CN"/>
        </w:rPr>
        <w:t>我中心不断</w:t>
      </w:r>
      <w:r>
        <w:rPr>
          <w:rFonts w:hint="eastAsia" w:ascii="仿宋_GB2312" w:hAnsi="仿宋_GB2312" w:eastAsia="仿宋_GB2312" w:cs="仿宋_GB2312"/>
          <w:color w:val="auto"/>
          <w:sz w:val="32"/>
          <w:szCs w:val="32"/>
          <w:lang w:bidi="ar"/>
        </w:rPr>
        <w:t>把政务公开工作进行细化分解，</w:t>
      </w:r>
      <w:r>
        <w:rPr>
          <w:rFonts w:hint="eastAsia" w:ascii="仿宋_GB2312" w:hAnsi="仿宋_GB2312" w:eastAsia="仿宋_GB2312" w:cs="仿宋_GB2312"/>
          <w:color w:val="auto"/>
          <w:spacing w:val="8"/>
          <w:kern w:val="0"/>
          <w:sz w:val="32"/>
          <w:szCs w:val="32"/>
          <w:lang w:val="en-US" w:eastAsia="zh-CN"/>
        </w:rPr>
        <w:t>持续优化“投资东城”微信公众号，在“投资东城”网站、“投资东城”微信公众号公开单位地址和联系电话等信息，及时接听企业和社会咨询电话，认真做好相关内容答复解释工作。</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i w:val="0"/>
          <w:iCs w:val="0"/>
          <w:caps w:val="0"/>
          <w:color w:val="404040"/>
          <w:spacing w:val="0"/>
          <w:sz w:val="32"/>
          <w:szCs w:val="32"/>
          <w:shd w:val="clear" w:fill="FFFFFF"/>
          <w:lang w:eastAsia="zh-CN"/>
        </w:rPr>
        <w:t>（</w:t>
      </w:r>
      <w:r>
        <w:rPr>
          <w:rFonts w:hint="eastAsia" w:ascii="仿宋_GB2312" w:hAnsi="仿宋_GB2312" w:eastAsia="仿宋_GB2312" w:cs="仿宋_GB2312"/>
          <w:b/>
          <w:bCs/>
          <w:spacing w:val="8"/>
          <w:kern w:val="0"/>
          <w:sz w:val="32"/>
          <w:szCs w:val="32"/>
        </w:rPr>
        <w:t>三</w:t>
      </w:r>
      <w:r>
        <w:rPr>
          <w:rFonts w:hint="eastAsia" w:ascii="仿宋_GB2312" w:hAnsi="仿宋_GB2312" w:eastAsia="仿宋_GB2312" w:cs="仿宋_GB2312"/>
          <w:b/>
          <w:bCs/>
          <w:spacing w:val="8"/>
          <w:kern w:val="0"/>
          <w:sz w:val="32"/>
          <w:szCs w:val="32"/>
          <w:lang w:eastAsia="zh-CN"/>
        </w:rPr>
        <w:t>）</w:t>
      </w:r>
      <w:r>
        <w:rPr>
          <w:rFonts w:hint="eastAsia" w:ascii="仿宋_GB2312" w:hAnsi="仿宋_GB2312" w:eastAsia="仿宋_GB2312" w:cs="仿宋_GB2312"/>
          <w:b/>
          <w:bCs/>
          <w:color w:val="000000"/>
          <w:sz w:val="32"/>
          <w:szCs w:val="32"/>
          <w:highlight w:val="none"/>
        </w:rPr>
        <w:t>收到和处理政府信息公开申请情况</w:t>
      </w:r>
      <w:r>
        <w:rPr>
          <w:rFonts w:hint="eastAsia" w:ascii="仿宋_GB2312" w:hAnsi="仿宋_GB2312" w:eastAsia="仿宋_GB2312" w:cs="仿宋_GB2312"/>
          <w:b/>
          <w:bCs/>
          <w:spacing w:val="8"/>
          <w:kern w:val="0"/>
          <w:sz w:val="32"/>
          <w:szCs w:val="32"/>
        </w:rPr>
        <w:t>。</w:t>
      </w:r>
      <w:r>
        <w:rPr>
          <w:rFonts w:hint="eastAsia" w:ascii="仿宋_GB2312" w:hAnsi="仿宋_GB2312" w:eastAsia="仿宋_GB2312" w:cs="仿宋_GB2312"/>
          <w:color w:val="auto"/>
          <w:spacing w:val="8"/>
          <w:kern w:val="0"/>
          <w:sz w:val="32"/>
          <w:szCs w:val="32"/>
        </w:rPr>
        <w:t>我</w:t>
      </w:r>
      <w:r>
        <w:rPr>
          <w:rFonts w:hint="eastAsia" w:ascii="仿宋_GB2312" w:hAnsi="仿宋_GB2312" w:eastAsia="仿宋_GB2312" w:cs="仿宋_GB2312"/>
          <w:color w:val="auto"/>
          <w:spacing w:val="8"/>
          <w:kern w:val="0"/>
          <w:sz w:val="32"/>
          <w:szCs w:val="32"/>
          <w:lang w:eastAsia="zh-CN"/>
        </w:rPr>
        <w:t>中心</w:t>
      </w:r>
      <w:r>
        <w:rPr>
          <w:rFonts w:hint="eastAsia" w:ascii="仿宋_GB2312" w:hAnsi="仿宋_GB2312" w:eastAsia="仿宋_GB2312" w:cs="仿宋_GB2312"/>
          <w:color w:val="auto"/>
          <w:spacing w:val="8"/>
          <w:kern w:val="0"/>
          <w:sz w:val="32"/>
          <w:szCs w:val="32"/>
        </w:rPr>
        <w:t>持续完善政府信息公开申请办理，不断优化依申请公开工作流程，规范依申请答复内容，依法依规依程序做好政府信息公开申请工作。</w:t>
      </w:r>
      <w:r>
        <w:rPr>
          <w:rFonts w:hint="eastAsia" w:ascii="仿宋_GB2312" w:hAnsi="仿宋_GB2312" w:eastAsia="仿宋_GB2312" w:cs="仿宋_GB2312"/>
          <w:spacing w:val="8"/>
          <w:kern w:val="0"/>
          <w:sz w:val="32"/>
          <w:szCs w:val="32"/>
          <w:lang w:val="en-US" w:eastAsia="zh-CN"/>
        </w:rPr>
        <w:t>2022年，我中心未收到</w:t>
      </w:r>
      <w:r>
        <w:rPr>
          <w:rFonts w:hint="eastAsia" w:ascii="仿宋_GB2312" w:hAnsi="仿宋_GB2312" w:eastAsia="仿宋_GB2312" w:cs="仿宋_GB2312"/>
          <w:sz w:val="32"/>
          <w:szCs w:val="32"/>
        </w:rPr>
        <w:t>政府信息公开申请</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color w:val="000000"/>
          <w:sz w:val="32"/>
          <w:szCs w:val="32"/>
          <w:highlight w:val="none"/>
        </w:rPr>
        <w:t>因政府信息公开工作被申请行政复议、提起行政诉讼情况。</w:t>
      </w:r>
      <w:r>
        <w:rPr>
          <w:rFonts w:hint="eastAsia" w:ascii="仿宋_GB2312" w:hAnsi="仿宋_GB2312" w:eastAsia="仿宋_GB2312" w:cs="仿宋_GB2312"/>
          <w:b w:val="0"/>
          <w:bCs w:val="0"/>
          <w:color w:val="000000"/>
          <w:sz w:val="32"/>
          <w:szCs w:val="32"/>
          <w:highlight w:val="none"/>
          <w:lang w:val="en-US" w:eastAsia="zh-CN"/>
        </w:rPr>
        <w:t>2022年，</w:t>
      </w:r>
      <w:r>
        <w:rPr>
          <w:rFonts w:hint="eastAsia" w:ascii="仿宋_GB2312" w:hAnsi="仿宋_GB2312" w:eastAsia="仿宋_GB2312" w:cs="仿宋_GB2312"/>
          <w:i w:val="0"/>
          <w:iCs w:val="0"/>
          <w:caps w:val="0"/>
          <w:color w:val="404040"/>
          <w:spacing w:val="0"/>
          <w:sz w:val="32"/>
          <w:szCs w:val="32"/>
          <w:shd w:val="clear" w:fill="FFFFFF"/>
        </w:rPr>
        <w:t>未产生因信息公开引发的行政复议、行政诉讼案件。</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tabs>
                <w:tab w:val="left" w:pos="571"/>
              </w:tabs>
              <w:spacing w:before="0" w:beforeAutospacing="0" w:after="0" w:afterAutospacing="0"/>
              <w:ind w:left="0" w:right="0"/>
              <w:jc w:val="center"/>
              <w:rPr>
                <w:rFonts w:hint="default" w:ascii="Times New Roman" w:hAnsi="Times New Roman" w:cs="Times New Roman"/>
              </w:rPr>
            </w:pPr>
            <w:r>
              <w:rPr>
                <w:rFonts w:hint="eastAsia"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eastAsia" w:cs="Times New Roman"/>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2"/>
        <w:numPr>
          <w:ilvl w:val="0"/>
          <w:numId w:val="0"/>
        </w:numPr>
        <w:rPr>
          <w:rFonts w:hint="eastAsia"/>
        </w:rPr>
      </w:pPr>
    </w:p>
    <w:p>
      <w:pPr>
        <w:pStyle w:val="2"/>
        <w:numPr>
          <w:ilvl w:val="0"/>
          <w:numId w:val="0"/>
        </w:numPr>
        <w:rPr>
          <w:rFonts w:hint="eastAsia" w:ascii="黑体" w:hAnsi="黑体" w:eastAsia="黑体" w:cs="黑体"/>
          <w:sz w:val="32"/>
          <w:szCs w:val="32"/>
        </w:rPr>
      </w:pPr>
      <w:r>
        <w:rPr>
          <w:rFonts w:hint="eastAsia"/>
        </w:rPr>
        <w:br w:type="page"/>
      </w:r>
      <w:r>
        <w:rPr>
          <w:rFonts w:hint="eastAsia"/>
          <w:lang w:val="en-US" w:eastAsia="zh-CN"/>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3"/>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default"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r>
        <w:rPr>
          <w:rFonts w:hint="eastAsia"/>
        </w:rPr>
        <w:br w:type="textWrapping"/>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eastAsia" w:eastAsia="黑体" w:cs="Times New Roman"/>
                <w:kern w:val="0"/>
                <w:sz w:val="20"/>
                <w:szCs w:val="20"/>
                <w:lang w:val="en-US" w:eastAsia="zh-CN"/>
              </w:rPr>
              <w:t>0</w:t>
            </w:r>
            <w:r>
              <w:rPr>
                <w:rFonts w:hint="default" w:ascii="Times New Roman" w:hAnsi="Times New Roman" w:eastAsia="黑体" w:cs="Times New Roman"/>
                <w:kern w:val="0"/>
                <w:sz w:val="20"/>
                <w:szCs w:val="20"/>
                <w:lang w:val="en-US" w:eastAsia="zh-CN"/>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eastAsia" w:eastAsia="黑体" w:cs="Times New Roman"/>
                <w:kern w:val="0"/>
                <w:sz w:val="20"/>
                <w:szCs w:val="20"/>
                <w:lang w:val="en-US" w:eastAsia="zh-CN"/>
              </w:rPr>
              <w:t>0</w:t>
            </w:r>
            <w:r>
              <w:rPr>
                <w:rFonts w:hint="default" w:ascii="Times New Roman" w:hAnsi="Times New Roman" w:eastAsia="黑体" w:cs="Times New Roman"/>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eastAsia" w:eastAsia="黑体" w:cs="Times New Roman"/>
                <w:kern w:val="0"/>
                <w:sz w:val="20"/>
                <w:szCs w:val="20"/>
                <w:lang w:val="en-US" w:eastAsia="zh-CN"/>
              </w:rPr>
              <w:t>0</w:t>
            </w:r>
            <w:r>
              <w:rPr>
                <w:rFonts w:hint="default" w:ascii="Times New Roman" w:hAnsi="Times New Roman" w:eastAsia="黑体" w:cs="Times New Roman"/>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w:t>
            </w:r>
            <w:r>
              <w:rPr>
                <w:rFonts w:hint="eastAsia"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default" w:ascii="Times New Roman" w:hAnsi="Times New Roman" w:eastAsia="仿宋_GB2312" w:cs="Times New Roman"/>
          <w:spacing w:val="8"/>
          <w:kern w:val="0"/>
          <w:sz w:val="32"/>
          <w:szCs w:val="32"/>
          <w:lang w:val="en-US" w:eastAsia="zh-CN"/>
        </w:rPr>
      </w:pPr>
      <w:r>
        <w:rPr>
          <w:rFonts w:hint="default" w:ascii="Times New Roman" w:hAnsi="Times New Roman" w:eastAsia="仿宋_GB2312" w:cs="Times New Roman"/>
          <w:spacing w:val="8"/>
          <w:kern w:val="0"/>
          <w:sz w:val="32"/>
          <w:szCs w:val="32"/>
          <w:lang w:val="en-US" w:eastAsia="zh-CN"/>
        </w:rPr>
        <w:t>存在的不足:</w:t>
      </w:r>
    </w:p>
    <w:p>
      <w:pPr>
        <w:widowControl/>
        <w:spacing w:line="560" w:lineRule="exact"/>
        <w:ind w:firstLine="675" w:firstLineChars="200"/>
        <w:jc w:val="left"/>
        <w:rPr>
          <w:rFonts w:hint="default" w:ascii="Times New Roman" w:hAnsi="Times New Roman" w:eastAsia="仿宋_GB2312" w:cs="Times New Roman"/>
          <w:spacing w:val="8"/>
          <w:kern w:val="0"/>
          <w:sz w:val="32"/>
          <w:szCs w:val="32"/>
          <w:lang w:val="en-US" w:eastAsia="zh-CN"/>
        </w:rPr>
      </w:pPr>
      <w:r>
        <w:rPr>
          <w:rFonts w:hint="default" w:ascii="Times New Roman" w:hAnsi="Times New Roman" w:eastAsia="仿宋_GB2312" w:cs="Times New Roman"/>
          <w:b/>
          <w:bCs/>
          <w:spacing w:val="8"/>
          <w:kern w:val="0"/>
          <w:sz w:val="32"/>
          <w:szCs w:val="32"/>
          <w:lang w:val="en-US" w:eastAsia="zh-CN"/>
        </w:rPr>
        <w:t>一是</w:t>
      </w:r>
      <w:r>
        <w:rPr>
          <w:rFonts w:hint="eastAsia" w:eastAsia="仿宋_GB2312" w:cs="Times New Roman"/>
          <w:spacing w:val="8"/>
          <w:kern w:val="0"/>
          <w:sz w:val="32"/>
          <w:szCs w:val="32"/>
          <w:lang w:val="en-US" w:eastAsia="zh-CN"/>
        </w:rPr>
        <w:t>政务公开相关业务知识掌握不够清晰，</w:t>
      </w:r>
      <w:r>
        <w:rPr>
          <w:rFonts w:hint="eastAsia" w:ascii="Times New Roman" w:hAnsi="Times New Roman" w:eastAsia="仿宋_GB2312" w:cs="Times New Roman"/>
          <w:spacing w:val="8"/>
          <w:kern w:val="0"/>
          <w:sz w:val="32"/>
          <w:szCs w:val="32"/>
          <w:lang w:val="en-US" w:eastAsia="zh-CN"/>
        </w:rPr>
        <w:t>深入学习的意识有待进一步</w:t>
      </w:r>
      <w:r>
        <w:rPr>
          <w:rFonts w:hint="eastAsia" w:eastAsia="仿宋_GB2312" w:cs="Times New Roman"/>
          <w:spacing w:val="8"/>
          <w:kern w:val="0"/>
          <w:sz w:val="32"/>
          <w:szCs w:val="32"/>
          <w:lang w:val="en-US" w:eastAsia="zh-CN"/>
        </w:rPr>
        <w:t>提高</w:t>
      </w:r>
      <w:r>
        <w:rPr>
          <w:rFonts w:hint="default" w:ascii="Times New Roman" w:hAnsi="Times New Roman" w:eastAsia="仿宋_GB2312" w:cs="Times New Roman"/>
          <w:spacing w:val="8"/>
          <w:kern w:val="0"/>
          <w:sz w:val="32"/>
          <w:szCs w:val="32"/>
          <w:lang w:val="en-US" w:eastAsia="zh-CN"/>
        </w:rPr>
        <w:t>。</w:t>
      </w:r>
      <w:r>
        <w:rPr>
          <w:rFonts w:hint="default" w:ascii="Times New Roman" w:hAnsi="Times New Roman" w:eastAsia="仿宋_GB2312" w:cs="Times New Roman"/>
          <w:b/>
          <w:bCs/>
          <w:spacing w:val="8"/>
          <w:kern w:val="0"/>
          <w:sz w:val="32"/>
          <w:szCs w:val="32"/>
          <w:lang w:val="en-US" w:eastAsia="zh-CN"/>
        </w:rPr>
        <w:t>二是</w:t>
      </w:r>
      <w:r>
        <w:rPr>
          <w:rFonts w:hint="eastAsia" w:ascii="Times New Roman" w:hAnsi="Times New Roman" w:eastAsia="仿宋_GB2312" w:cs="Times New Roman"/>
          <w:spacing w:val="8"/>
          <w:kern w:val="0"/>
          <w:sz w:val="32"/>
          <w:szCs w:val="32"/>
          <w:lang w:val="en-US" w:eastAsia="zh-CN"/>
        </w:rPr>
        <w:t>因暂无</w:t>
      </w:r>
      <w:r>
        <w:rPr>
          <w:rFonts w:hint="eastAsia" w:eastAsia="仿宋_GB2312" w:cs="Times New Roman"/>
          <w:spacing w:val="8"/>
          <w:kern w:val="0"/>
          <w:sz w:val="32"/>
          <w:szCs w:val="32"/>
          <w:lang w:val="en-US" w:eastAsia="zh-CN"/>
        </w:rPr>
        <w:t>收到</w:t>
      </w:r>
      <w:r>
        <w:rPr>
          <w:rFonts w:hint="eastAsia" w:ascii="Times New Roman" w:hAnsi="Times New Roman" w:eastAsia="仿宋_GB2312" w:cs="Times New Roman"/>
          <w:spacing w:val="8"/>
          <w:kern w:val="0"/>
          <w:sz w:val="32"/>
          <w:szCs w:val="32"/>
          <w:lang w:val="en-US" w:eastAsia="zh-CN"/>
        </w:rPr>
        <w:t>申请政府信息公开相关事项，</w:t>
      </w:r>
      <w:r>
        <w:rPr>
          <w:rFonts w:hint="eastAsia" w:eastAsia="仿宋_GB2312" w:cs="Times New Roman"/>
          <w:spacing w:val="8"/>
          <w:kern w:val="0"/>
          <w:sz w:val="32"/>
          <w:szCs w:val="32"/>
          <w:lang w:val="en-US" w:eastAsia="zh-CN"/>
        </w:rPr>
        <w:t>业务</w:t>
      </w:r>
      <w:r>
        <w:rPr>
          <w:rFonts w:hint="eastAsia" w:ascii="Times New Roman" w:hAnsi="Times New Roman" w:eastAsia="仿宋_GB2312" w:cs="Times New Roman"/>
          <w:spacing w:val="8"/>
          <w:kern w:val="0"/>
          <w:sz w:val="32"/>
          <w:szCs w:val="32"/>
          <w:lang w:val="en-US" w:eastAsia="zh-CN"/>
        </w:rPr>
        <w:t>办理经验</w:t>
      </w:r>
      <w:r>
        <w:rPr>
          <w:rFonts w:hint="eastAsia" w:eastAsia="仿宋_GB2312" w:cs="Times New Roman"/>
          <w:spacing w:val="8"/>
          <w:kern w:val="0"/>
          <w:sz w:val="32"/>
          <w:szCs w:val="32"/>
          <w:lang w:val="en-US" w:eastAsia="zh-CN"/>
        </w:rPr>
        <w:t>不足</w:t>
      </w:r>
      <w:r>
        <w:rPr>
          <w:rFonts w:hint="eastAsia" w:ascii="Times New Roman" w:hAnsi="Times New Roman" w:eastAsia="仿宋_GB2312" w:cs="Times New Roman"/>
          <w:spacing w:val="8"/>
          <w:kern w:val="0"/>
          <w:sz w:val="32"/>
          <w:szCs w:val="32"/>
          <w:lang w:val="en-US" w:eastAsia="zh-CN"/>
        </w:rPr>
        <w:t>。</w:t>
      </w:r>
    </w:p>
    <w:p>
      <w:pPr>
        <w:widowControl/>
        <w:spacing w:line="560" w:lineRule="exact"/>
        <w:ind w:firstLine="672" w:firstLineChars="200"/>
        <w:jc w:val="left"/>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lang w:val="en-US" w:eastAsia="zh-CN"/>
        </w:rPr>
        <w:t>下一步</w:t>
      </w:r>
      <w:r>
        <w:rPr>
          <w:rFonts w:hint="eastAsia" w:ascii="Times New Roman" w:hAnsi="Times New Roman" w:eastAsia="仿宋_GB2312" w:cs="Times New Roman"/>
          <w:spacing w:val="8"/>
          <w:kern w:val="0"/>
          <w:sz w:val="32"/>
          <w:szCs w:val="32"/>
          <w:lang w:eastAsia="zh-CN"/>
        </w:rPr>
        <w:t>，中心将</w:t>
      </w:r>
      <w:r>
        <w:rPr>
          <w:rFonts w:hint="eastAsia" w:eastAsia="仿宋_GB2312" w:cs="Times New Roman"/>
          <w:spacing w:val="8"/>
          <w:kern w:val="0"/>
          <w:sz w:val="32"/>
          <w:szCs w:val="32"/>
          <w:lang w:val="en-US" w:eastAsia="zh-CN"/>
        </w:rPr>
        <w:t>提高政治站位，强化政治责任，按照区委区政府相关要求，落实好</w:t>
      </w:r>
      <w:r>
        <w:rPr>
          <w:rFonts w:hint="default" w:ascii="Times New Roman" w:hAnsi="Times New Roman" w:eastAsia="仿宋_GB2312" w:cs="Times New Roman"/>
          <w:spacing w:val="8"/>
          <w:kern w:val="0"/>
          <w:sz w:val="32"/>
          <w:szCs w:val="32"/>
          <w:lang w:val="en-US" w:eastAsia="zh-CN"/>
        </w:rPr>
        <w:t>政务公开</w:t>
      </w:r>
      <w:r>
        <w:rPr>
          <w:rFonts w:hint="eastAsia" w:eastAsia="仿宋_GB2312" w:cs="Times New Roman"/>
          <w:spacing w:val="8"/>
          <w:kern w:val="0"/>
          <w:sz w:val="32"/>
          <w:szCs w:val="32"/>
          <w:lang w:val="en-US" w:eastAsia="zh-CN"/>
        </w:rPr>
        <w:t>事项办理各项工作</w:t>
      </w:r>
      <w:r>
        <w:rPr>
          <w:rFonts w:hint="default" w:ascii="Times New Roman" w:hAnsi="Times New Roman" w:eastAsia="仿宋_GB2312" w:cs="Times New Roman"/>
          <w:spacing w:val="8"/>
          <w:kern w:val="0"/>
          <w:sz w:val="32"/>
          <w:szCs w:val="32"/>
          <w:lang w:val="en-US" w:eastAsia="zh-CN"/>
        </w:rPr>
        <w:t>，</w:t>
      </w:r>
      <w:r>
        <w:rPr>
          <w:rFonts w:hint="eastAsia" w:eastAsia="仿宋_GB2312" w:cs="Times New Roman"/>
          <w:spacing w:val="8"/>
          <w:kern w:val="0"/>
          <w:sz w:val="32"/>
          <w:szCs w:val="32"/>
          <w:lang w:val="en-US" w:eastAsia="zh-CN"/>
        </w:rPr>
        <w:t>完善中心</w:t>
      </w:r>
      <w:r>
        <w:rPr>
          <w:rFonts w:hint="default" w:ascii="Times New Roman" w:hAnsi="Times New Roman" w:eastAsia="仿宋_GB2312" w:cs="Times New Roman"/>
          <w:spacing w:val="8"/>
          <w:kern w:val="0"/>
          <w:sz w:val="32"/>
          <w:szCs w:val="32"/>
          <w:lang w:val="en-US" w:eastAsia="zh-CN"/>
        </w:rPr>
        <w:t>政务公开</w:t>
      </w:r>
      <w:r>
        <w:rPr>
          <w:rFonts w:hint="eastAsia" w:eastAsia="仿宋_GB2312" w:cs="Times New Roman"/>
          <w:spacing w:val="8"/>
          <w:kern w:val="0"/>
          <w:sz w:val="32"/>
          <w:szCs w:val="32"/>
          <w:lang w:val="en-US" w:eastAsia="zh-CN"/>
        </w:rPr>
        <w:t>相关工作</w:t>
      </w:r>
      <w:r>
        <w:rPr>
          <w:rFonts w:hint="default" w:ascii="Times New Roman" w:hAnsi="Times New Roman" w:eastAsia="仿宋_GB2312" w:cs="Times New Roman"/>
          <w:spacing w:val="8"/>
          <w:kern w:val="0"/>
          <w:sz w:val="32"/>
          <w:szCs w:val="32"/>
          <w:lang w:val="en-US" w:eastAsia="zh-CN"/>
        </w:rPr>
        <w:t>措施，</w:t>
      </w:r>
      <w:r>
        <w:rPr>
          <w:rFonts w:hint="eastAsia" w:eastAsia="仿宋_GB2312" w:cs="Times New Roman"/>
          <w:spacing w:val="8"/>
          <w:kern w:val="0"/>
          <w:sz w:val="32"/>
          <w:szCs w:val="32"/>
          <w:lang w:val="en-US" w:eastAsia="zh-CN"/>
        </w:rPr>
        <w:t>积极</w:t>
      </w:r>
      <w:r>
        <w:rPr>
          <w:rFonts w:hint="default" w:ascii="Times New Roman" w:hAnsi="Times New Roman" w:eastAsia="仿宋_GB2312" w:cs="Times New Roman"/>
          <w:spacing w:val="8"/>
          <w:kern w:val="0"/>
          <w:sz w:val="32"/>
          <w:szCs w:val="32"/>
          <w:lang w:val="en-US" w:eastAsia="zh-CN"/>
        </w:rPr>
        <w:t>参加政务公开相关培训</w:t>
      </w:r>
      <w:r>
        <w:rPr>
          <w:rFonts w:hint="eastAsia" w:eastAsia="仿宋_GB2312" w:cs="Times New Roman"/>
          <w:spacing w:val="8"/>
          <w:kern w:val="0"/>
          <w:sz w:val="32"/>
          <w:szCs w:val="32"/>
          <w:lang w:val="en-US" w:eastAsia="zh-CN"/>
        </w:rPr>
        <w:t>学习</w:t>
      </w:r>
      <w:r>
        <w:rPr>
          <w:rFonts w:hint="default" w:ascii="Times New Roman" w:hAnsi="Times New Roman" w:eastAsia="仿宋_GB2312" w:cs="Times New Roman"/>
          <w:spacing w:val="8"/>
          <w:kern w:val="0"/>
          <w:sz w:val="32"/>
          <w:szCs w:val="32"/>
          <w:lang w:val="en-US" w:eastAsia="zh-CN"/>
        </w:rPr>
        <w:t>，进一步</w:t>
      </w:r>
      <w:r>
        <w:rPr>
          <w:rFonts w:hint="eastAsia" w:eastAsia="仿宋_GB2312" w:cs="Times New Roman"/>
          <w:spacing w:val="8"/>
          <w:kern w:val="0"/>
          <w:sz w:val="32"/>
          <w:szCs w:val="32"/>
          <w:lang w:val="en-US" w:eastAsia="zh-CN"/>
        </w:rPr>
        <w:t>提升</w:t>
      </w:r>
      <w:r>
        <w:rPr>
          <w:rFonts w:hint="default" w:ascii="Times New Roman" w:hAnsi="Times New Roman" w:eastAsia="仿宋_GB2312" w:cs="Times New Roman"/>
          <w:spacing w:val="8"/>
          <w:kern w:val="0"/>
          <w:sz w:val="32"/>
          <w:szCs w:val="32"/>
          <w:lang w:val="en-US" w:eastAsia="zh-CN"/>
        </w:rPr>
        <w:t>工作人员服务能力</w:t>
      </w:r>
      <w:r>
        <w:rPr>
          <w:rFonts w:hint="eastAsia" w:eastAsia="仿宋_GB2312" w:cs="Times New Roman"/>
          <w:spacing w:val="8"/>
          <w:kern w:val="0"/>
          <w:sz w:val="32"/>
          <w:szCs w:val="32"/>
          <w:lang w:val="en-US" w:eastAsia="zh-CN"/>
        </w:rPr>
        <w:t>和综合素质，不断增强政务公开能力建设</w:t>
      </w:r>
      <w:r>
        <w:rPr>
          <w:rFonts w:hint="default" w:ascii="Times New Roman" w:hAnsi="Times New Roman" w:eastAsia="仿宋_GB2312" w:cs="Times New Roman"/>
          <w:spacing w:val="8"/>
          <w:kern w:val="0"/>
          <w:sz w:val="32"/>
          <w:szCs w:val="32"/>
          <w:lang w:val="en-US" w:eastAsia="zh-CN"/>
        </w:rPr>
        <w:t>。</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42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本单位依据《政府信息公开信息处理费管理办法》收取信息处理费，发出收费通知的件数和总金额以及实际收取的总金额均为0。</w:t>
      </w:r>
      <w:r>
        <w:rPr>
          <w:rFonts w:hint="eastAsia" w:ascii="仿宋_GB2312" w:hAnsi="宋体" w:eastAsia="仿宋_GB2312" w:cs="宋体"/>
          <w:spacing w:val="8"/>
          <w:kern w:val="0"/>
          <w:sz w:val="32"/>
          <w:szCs w:val="32"/>
        </w:rPr>
        <w:t>如需了解更多政府信息，请登录北京市东城区人民政府门户网站（</w:t>
      </w:r>
      <w:r>
        <w:rPr>
          <w:rFonts w:hint="eastAsia" w:ascii="仿宋_GB2312" w:hAnsi="宋体" w:eastAsia="仿宋_GB2312" w:cs="宋体"/>
          <w:color w:val="auto"/>
          <w:spacing w:val="8"/>
          <w:kern w:val="0"/>
          <w:sz w:val="32"/>
          <w:szCs w:val="32"/>
        </w:rPr>
        <w:t>“</w:t>
      </w:r>
      <w:r>
        <w:rPr>
          <w:rFonts w:hint="eastAsia" w:ascii="仿宋_GB2312" w:hAnsi="仿宋_GB2312" w:eastAsia="仿宋_GB2312" w:cs="仿宋_GB2312"/>
          <w:caps w:val="0"/>
          <w:color w:val="auto"/>
          <w:spacing w:val="0"/>
          <w:kern w:val="0"/>
          <w:sz w:val="32"/>
          <w:szCs w:val="32"/>
          <w:shd w:val="clear" w:fill="FFFFFF"/>
          <w:lang w:val="en-US" w:eastAsia="zh-CN" w:bidi="ar"/>
        </w:rPr>
        <w:t>北京市东城区政府网站</w:t>
      </w:r>
      <w:r>
        <w:rPr>
          <w:rFonts w:hint="eastAsia" w:ascii="仿宋_GB2312" w:hAnsi="宋体" w:eastAsia="仿宋_GB2312" w:cs="宋体"/>
          <w:color w:val="auto"/>
          <w:spacing w:val="8"/>
          <w:kern w:val="0"/>
          <w:sz w:val="32"/>
          <w:szCs w:val="32"/>
        </w:rPr>
        <w:t>”</w:t>
      </w:r>
      <w:r>
        <w:rPr>
          <w:rFonts w:hint="eastAsia" w:ascii="仿宋_GB2312" w:hAnsi="宋体" w:eastAsia="仿宋_GB2312" w:cs="宋体"/>
          <w:spacing w:val="8"/>
          <w:kern w:val="0"/>
          <w:sz w:val="32"/>
          <w:szCs w:val="32"/>
        </w:rPr>
        <w:t>）网址为http://www.bjdch.gov.cn/进行查询。</w:t>
      </w:r>
    </w:p>
    <w:p>
      <w:pPr>
        <w:widowControl/>
        <w:spacing w:line="560" w:lineRule="exact"/>
        <w:ind w:firstLine="3150" w:firstLineChars="15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B453C"/>
    <w:rsid w:val="08BA68EB"/>
    <w:rsid w:val="0A3D13C2"/>
    <w:rsid w:val="0C013F70"/>
    <w:rsid w:val="0F8304C3"/>
    <w:rsid w:val="142F1ABA"/>
    <w:rsid w:val="168204F3"/>
    <w:rsid w:val="1B5C1EB1"/>
    <w:rsid w:val="1BC750D7"/>
    <w:rsid w:val="1CAA0554"/>
    <w:rsid w:val="1D136B0A"/>
    <w:rsid w:val="1DB5581A"/>
    <w:rsid w:val="1DEF6596"/>
    <w:rsid w:val="1EBE2D5E"/>
    <w:rsid w:val="1EEE3135"/>
    <w:rsid w:val="23B55E7D"/>
    <w:rsid w:val="26F94012"/>
    <w:rsid w:val="2B38531D"/>
    <w:rsid w:val="2B595274"/>
    <w:rsid w:val="2F553648"/>
    <w:rsid w:val="39265C49"/>
    <w:rsid w:val="3C1A6F30"/>
    <w:rsid w:val="41707C37"/>
    <w:rsid w:val="42873B3C"/>
    <w:rsid w:val="44D6323A"/>
    <w:rsid w:val="48475892"/>
    <w:rsid w:val="4B1B453C"/>
    <w:rsid w:val="51FF3D2F"/>
    <w:rsid w:val="53D72C8B"/>
    <w:rsid w:val="54E931F8"/>
    <w:rsid w:val="57D04BF8"/>
    <w:rsid w:val="5AF304F0"/>
    <w:rsid w:val="5B5B6C6B"/>
    <w:rsid w:val="5BA82DA2"/>
    <w:rsid w:val="5C654311"/>
    <w:rsid w:val="5E164C2E"/>
    <w:rsid w:val="5EF35197"/>
    <w:rsid w:val="62FA7A5C"/>
    <w:rsid w:val="6BAE1D43"/>
    <w:rsid w:val="6E4F3E8C"/>
    <w:rsid w:val="702C097E"/>
    <w:rsid w:val="70C05738"/>
    <w:rsid w:val="73105A90"/>
    <w:rsid w:val="74D034E4"/>
    <w:rsid w:val="78CC1531"/>
    <w:rsid w:val="7AB0567C"/>
    <w:rsid w:val="7EC62F5E"/>
    <w:rsid w:val="7FCD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2021-12-09T02:11:00Z</dcterms:created>
  <dc:creator>刘振华</dc:creator>
  <cp:lastModifiedBy>120</cp:lastModifiedBy>
  <cp:lastPrinted>2023-01-11T02:45:40Z</cp:lastPrinted>
  <dcterms:modified xsi:type="dcterms:W3CDTF">2023-01-11T02:50:14Z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