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北京市东城区民政局</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年政府信息公开</w:t>
      </w:r>
    </w:p>
    <w:p>
      <w:pPr>
        <w:spacing w:line="54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工作年度报告</w:t>
      </w:r>
    </w:p>
    <w:p>
      <w:pPr>
        <w:keepNext w:val="0"/>
        <w:keepLines w:val="0"/>
        <w:pageBreakBefore w:val="0"/>
        <w:kinsoku/>
        <w:wordWrap/>
        <w:overflowPunct/>
        <w:topLinePunct w:val="0"/>
        <w:autoSpaceDE/>
        <w:autoSpaceDN/>
        <w:bidi w:val="0"/>
        <w:spacing w:line="480" w:lineRule="exact"/>
        <w:ind w:left="0" w:leftChars="0" w:right="0" w:rightChars="0"/>
        <w:jc w:val="center"/>
        <w:textAlignment w:val="auto"/>
        <w:rPr>
          <w:sz w:val="44"/>
          <w:szCs w:val="44"/>
        </w:rPr>
      </w:pPr>
    </w:p>
    <w:p>
      <w:pPr>
        <w:pStyle w:val="6"/>
        <w:keepNext w:val="0"/>
        <w:keepLines w:val="0"/>
        <w:pageBreakBefore w:val="0"/>
        <w:widowControl/>
        <w:suppressLineNumbers w:val="0"/>
        <w:kinsoku/>
        <w:wordWrap/>
        <w:overflowPunct/>
        <w:topLinePunct w:val="0"/>
        <w:autoSpaceDE w:val="0"/>
        <w:autoSpaceDN/>
        <w:bidi w:val="0"/>
        <w:adjustRightInd/>
        <w:snapToGrid w:val="0"/>
        <w:spacing w:before="0" w:beforeAutospacing="0" w:after="0" w:afterAutospacing="0" w:line="480" w:lineRule="exact"/>
        <w:ind w:left="0" w:leftChars="0" w:right="0" w:rightChars="0" w:firstLine="672"/>
        <w:jc w:val="both"/>
        <w:textAlignment w:val="auto"/>
        <w:outlineLvl w:val="9"/>
      </w:pPr>
      <w:r>
        <w:rPr>
          <w:rFonts w:ascii="仿宋" w:hAnsi="仿宋" w:eastAsia="仿宋" w:cs="仿宋"/>
          <w:spacing w:val="8"/>
          <w:sz w:val="31"/>
          <w:szCs w:val="31"/>
        </w:rPr>
        <w:t>依据《中华人民共和国政府信息公开条例》</w:t>
      </w:r>
      <w:r>
        <w:rPr>
          <w:rFonts w:hint="eastAsia" w:ascii="仿宋" w:hAnsi="仿宋" w:eastAsia="仿宋" w:cs="仿宋"/>
          <w:spacing w:val="8"/>
          <w:sz w:val="31"/>
          <w:szCs w:val="31"/>
        </w:rPr>
        <w:t>(以下简称《政府信息公开条例》)第五十条规定，编制本报告。</w:t>
      </w:r>
    </w:p>
    <w:p>
      <w:pPr>
        <w:pStyle w:val="6"/>
        <w:keepNext w:val="0"/>
        <w:keepLines w:val="0"/>
        <w:pageBreakBefore w:val="0"/>
        <w:widowControl/>
        <w:suppressLineNumbers w:val="0"/>
        <w:kinsoku/>
        <w:wordWrap/>
        <w:overflowPunct/>
        <w:topLinePunct w:val="0"/>
        <w:autoSpaceDE w:val="0"/>
        <w:autoSpaceDN/>
        <w:bidi w:val="0"/>
        <w:adjustRightInd/>
        <w:snapToGrid w:val="0"/>
        <w:spacing w:before="0" w:beforeAutospacing="0" w:after="0" w:afterAutospacing="0" w:line="480" w:lineRule="exact"/>
        <w:ind w:left="0" w:leftChars="0" w:right="0" w:rightChars="0" w:firstLine="640"/>
        <w:jc w:val="both"/>
        <w:textAlignment w:val="auto"/>
        <w:outlineLvl w:val="9"/>
      </w:pPr>
      <w:r>
        <w:rPr>
          <w:rFonts w:ascii="黑体" w:hAnsi="宋体" w:eastAsia="黑体" w:cs="黑体"/>
          <w:sz w:val="31"/>
          <w:szCs w:val="31"/>
        </w:rPr>
        <w:t>一、总体情况</w:t>
      </w:r>
    </w:p>
    <w:p>
      <w:pPr>
        <w:pStyle w:val="6"/>
        <w:keepNext w:val="0"/>
        <w:keepLines w:val="0"/>
        <w:pageBreakBefore w:val="0"/>
        <w:widowControl/>
        <w:suppressLineNumbers w:val="0"/>
        <w:kinsoku/>
        <w:wordWrap/>
        <w:overflowPunct/>
        <w:topLinePunct w:val="0"/>
        <w:autoSpaceDE w:val="0"/>
        <w:autoSpaceDN/>
        <w:bidi w:val="0"/>
        <w:adjustRightInd/>
        <w:snapToGrid w:val="0"/>
        <w:spacing w:before="0" w:beforeAutospacing="0" w:after="0" w:afterAutospacing="0" w:line="480" w:lineRule="exact"/>
        <w:ind w:left="0" w:leftChars="0" w:right="0" w:rightChars="0" w:firstLine="640"/>
        <w:jc w:val="both"/>
        <w:textAlignment w:val="auto"/>
        <w:outlineLvl w:val="9"/>
      </w:pPr>
      <w:r>
        <w:rPr>
          <w:rFonts w:hint="eastAsia" w:ascii="仿宋" w:hAnsi="仿宋" w:eastAsia="仿宋" w:cs="仿宋"/>
          <w:sz w:val="31"/>
          <w:szCs w:val="31"/>
        </w:rPr>
        <w:t>2021年，</w:t>
      </w:r>
      <w:r>
        <w:rPr>
          <w:rFonts w:hint="eastAsia" w:ascii="仿宋" w:hAnsi="仿宋" w:eastAsia="仿宋" w:cs="仿宋"/>
          <w:spacing w:val="8"/>
          <w:sz w:val="31"/>
          <w:szCs w:val="31"/>
        </w:rPr>
        <w:t>东城区民政局高度重视政府信息公开工作，严格</w:t>
      </w:r>
      <w:r>
        <w:rPr>
          <w:rFonts w:hint="eastAsia" w:ascii="仿宋" w:hAnsi="仿宋" w:eastAsia="仿宋" w:cs="仿宋"/>
          <w:sz w:val="31"/>
          <w:szCs w:val="31"/>
        </w:rPr>
        <w:t>贯彻</w:t>
      </w:r>
      <w:r>
        <w:rPr>
          <w:rFonts w:hint="eastAsia" w:ascii="仿宋" w:hAnsi="仿宋" w:eastAsia="仿宋" w:cs="仿宋"/>
          <w:spacing w:val="8"/>
          <w:sz w:val="31"/>
          <w:szCs w:val="31"/>
        </w:rPr>
        <w:t>《政府信息公开条例》及上级有关规定，</w:t>
      </w:r>
      <w:r>
        <w:rPr>
          <w:rFonts w:hint="eastAsia" w:ascii="仿宋" w:hAnsi="仿宋" w:eastAsia="仿宋" w:cs="仿宋"/>
          <w:sz w:val="31"/>
          <w:szCs w:val="31"/>
        </w:rPr>
        <w:t>以“公开为常态，不公开为例外”的工作理念，认真</w:t>
      </w:r>
      <w:r>
        <w:rPr>
          <w:rFonts w:hint="eastAsia" w:ascii="仿宋" w:hAnsi="仿宋" w:eastAsia="仿宋" w:cs="仿宋"/>
          <w:spacing w:val="8"/>
          <w:sz w:val="31"/>
          <w:szCs w:val="31"/>
        </w:rPr>
        <w:t>执行信息公开审核发布制度，做好主动公开、依申请公开办事程序，落实监督保障机制，</w:t>
      </w:r>
      <w:r>
        <w:rPr>
          <w:rFonts w:hint="eastAsia" w:ascii="仿宋" w:hAnsi="仿宋" w:eastAsia="仿宋" w:cs="仿宋"/>
          <w:spacing w:val="8"/>
          <w:sz w:val="31"/>
          <w:szCs w:val="31"/>
          <w:lang w:eastAsia="zh-CN"/>
        </w:rPr>
        <w:t>加强</w:t>
      </w:r>
      <w:r>
        <w:rPr>
          <w:rFonts w:hint="eastAsia" w:ascii="仿宋" w:hAnsi="仿宋" w:eastAsia="仿宋" w:cs="仿宋"/>
          <w:spacing w:val="8"/>
          <w:sz w:val="31"/>
          <w:szCs w:val="31"/>
        </w:rPr>
        <w:t>政府信息管理</w:t>
      </w:r>
      <w:r>
        <w:rPr>
          <w:rFonts w:hint="eastAsia" w:ascii="仿宋" w:hAnsi="仿宋" w:eastAsia="仿宋" w:cs="仿宋"/>
          <w:spacing w:val="8"/>
          <w:sz w:val="31"/>
          <w:szCs w:val="31"/>
          <w:lang w:eastAsia="zh-CN"/>
        </w:rPr>
        <w:t>，</w:t>
      </w:r>
      <w:r>
        <w:rPr>
          <w:rFonts w:hint="eastAsia" w:ascii="仿宋" w:hAnsi="仿宋" w:eastAsia="仿宋" w:cs="仿宋"/>
          <w:spacing w:val="8"/>
          <w:sz w:val="31"/>
          <w:szCs w:val="31"/>
        </w:rPr>
        <w:t>确保全年政府信息公开工作运转正常。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val="0"/>
        <w:spacing w:before="0" w:beforeAutospacing="0" w:after="0" w:afterAutospacing="0" w:line="480" w:lineRule="exact"/>
        <w:ind w:left="0" w:leftChars="0" w:right="0" w:rightChars="0" w:firstLine="672"/>
        <w:jc w:val="both"/>
        <w:textAlignment w:val="auto"/>
        <w:outlineLvl w:val="9"/>
      </w:pPr>
      <w:r>
        <w:rPr>
          <w:rFonts w:hint="eastAsia" w:ascii="楷体" w:hAnsi="楷体" w:eastAsia="楷体" w:cs="楷体"/>
          <w:spacing w:val="8"/>
          <w:sz w:val="31"/>
          <w:szCs w:val="31"/>
          <w:lang w:val="en-US" w:eastAsia="zh-CN"/>
        </w:rPr>
        <w:t>1.完善组织领导。</w:t>
      </w:r>
      <w:r>
        <w:rPr>
          <w:rFonts w:hint="eastAsia" w:ascii="仿宋" w:hAnsi="仿宋" w:eastAsia="仿宋" w:cs="仿宋"/>
          <w:sz w:val="31"/>
          <w:szCs w:val="31"/>
        </w:rPr>
        <w:t>成立</w:t>
      </w:r>
      <w:r>
        <w:rPr>
          <w:rFonts w:hint="eastAsia" w:ascii="仿宋" w:hAnsi="仿宋" w:eastAsia="仿宋" w:cs="仿宋"/>
          <w:spacing w:val="8"/>
          <w:sz w:val="31"/>
          <w:szCs w:val="31"/>
        </w:rPr>
        <w:t>信息公开领导小组，</w:t>
      </w:r>
      <w:r>
        <w:rPr>
          <w:rFonts w:hint="eastAsia" w:ascii="仿宋" w:hAnsi="仿宋" w:eastAsia="仿宋" w:cs="仿宋"/>
          <w:sz w:val="31"/>
          <w:szCs w:val="31"/>
        </w:rPr>
        <w:t>小组组长由</w:t>
      </w:r>
      <w:r>
        <w:rPr>
          <w:rFonts w:hint="eastAsia" w:ascii="仿宋" w:hAnsi="仿宋" w:eastAsia="仿宋" w:cs="仿宋"/>
          <w:spacing w:val="8"/>
          <w:sz w:val="31"/>
          <w:szCs w:val="31"/>
        </w:rPr>
        <w:t>局长担任，副书记为副组长，各业务主管局长及相关业务科室负责人为成员，形成主要领导亲自抓、分管领导具体抓的工作机制。领导小组</w:t>
      </w:r>
      <w:r>
        <w:rPr>
          <w:rFonts w:hint="eastAsia" w:ascii="仿宋" w:hAnsi="仿宋" w:eastAsia="仿宋" w:cs="仿宋"/>
          <w:sz w:val="31"/>
          <w:szCs w:val="31"/>
        </w:rPr>
        <w:t>负责全局政府信息公开工作的组织、协调、督促检查；召开会议研究解决工作中遇到的问题，安排部署下一步工作。小组</w:t>
      </w:r>
      <w:r>
        <w:rPr>
          <w:rFonts w:hint="eastAsia" w:ascii="仿宋" w:hAnsi="仿宋" w:eastAsia="仿宋" w:cs="仿宋"/>
          <w:spacing w:val="8"/>
          <w:sz w:val="31"/>
          <w:szCs w:val="31"/>
        </w:rPr>
        <w:t>下设办公室，由局办公室落实具体工作，副书记分管该项工作，办公室主任牵头，1名办公室工作人员负责依申请公开及政府信息公开的审核、发布工作；落实市、区两级政府下达的各项政府信息公开的相关工作。业务科室设1名联络员负责配合完成依申请公开的初级答复及提供主动公开政务信息的工作职责，实现了政府信息及政务公开的受理、发布、更新等工作一体化，确保了政府信息及政务公开工作落到实处。</w:t>
      </w:r>
    </w:p>
    <w:p>
      <w:pPr>
        <w:pStyle w:val="6"/>
        <w:keepNext w:val="0"/>
        <w:keepLines w:val="0"/>
        <w:pageBreakBefore w:val="0"/>
        <w:widowControl/>
        <w:suppressLineNumbers w:val="0"/>
        <w:kinsoku/>
        <w:wordWrap/>
        <w:overflowPunct/>
        <w:topLinePunct w:val="0"/>
        <w:autoSpaceDE w:val="0"/>
        <w:autoSpaceDN/>
        <w:bidi w:val="0"/>
        <w:adjustRightInd/>
        <w:snapToGrid w:val="0"/>
        <w:spacing w:before="0" w:beforeAutospacing="0" w:after="0" w:afterAutospacing="0" w:line="480" w:lineRule="exact"/>
        <w:ind w:left="0" w:leftChars="0" w:right="0" w:rightChars="0" w:firstLine="672"/>
        <w:jc w:val="both"/>
        <w:textAlignment w:val="auto"/>
        <w:outlineLvl w:val="9"/>
      </w:pPr>
      <w:r>
        <w:rPr>
          <w:rFonts w:hint="eastAsia" w:ascii="楷体" w:hAnsi="楷体" w:eastAsia="楷体" w:cs="楷体"/>
          <w:spacing w:val="8"/>
          <w:sz w:val="31"/>
          <w:szCs w:val="31"/>
          <w:lang w:val="en-US" w:eastAsia="zh-CN"/>
        </w:rPr>
        <w:t>2.加强政府信息管理。</w:t>
      </w:r>
      <w:r>
        <w:rPr>
          <w:rFonts w:hint="eastAsia" w:ascii="仿宋" w:hAnsi="仿宋" w:eastAsia="仿宋" w:cs="仿宋"/>
          <w:spacing w:val="8"/>
          <w:sz w:val="31"/>
          <w:szCs w:val="31"/>
        </w:rPr>
        <w:t>为确保公开内容的严谨、安全，健全相关规范制度，严格执行保密审查程序，规范主动公开时限、途径。修订完成《东城区民政局政府信息公开指南》；完善领导班子调整后的领导信息及主要职责、业务部门机构职责、联系方式等公开信息；完善政务服务事项咨询电话及政府对外联系电话的清理整改，确保沟通渠道的畅通。</w:t>
      </w:r>
    </w:p>
    <w:p>
      <w:pPr>
        <w:pStyle w:val="6"/>
        <w:keepNext w:val="0"/>
        <w:keepLines w:val="0"/>
        <w:pageBreakBefore w:val="0"/>
        <w:widowControl/>
        <w:numPr>
          <w:ilvl w:val="0"/>
          <w:numId w:val="0"/>
        </w:numPr>
        <w:suppressLineNumbers w:val="0"/>
        <w:kinsoku/>
        <w:wordWrap/>
        <w:overflowPunct/>
        <w:topLinePunct w:val="0"/>
        <w:autoSpaceDE w:val="0"/>
        <w:autoSpaceDN/>
        <w:bidi w:val="0"/>
        <w:adjustRightInd/>
        <w:snapToGrid w:val="0"/>
        <w:spacing w:before="0" w:beforeAutospacing="0" w:after="0" w:afterAutospacing="0" w:line="480" w:lineRule="exact"/>
        <w:ind w:left="0" w:leftChars="0" w:right="0" w:rightChars="0" w:firstLine="652" w:firstLineChars="200"/>
        <w:jc w:val="both"/>
        <w:textAlignment w:val="auto"/>
        <w:outlineLvl w:val="9"/>
        <w:rPr>
          <w:rFonts w:hint="eastAsia" w:ascii="仿宋" w:hAnsi="仿宋" w:eastAsia="仿宋" w:cs="仿宋"/>
          <w:spacing w:val="8"/>
          <w:sz w:val="31"/>
          <w:szCs w:val="31"/>
        </w:rPr>
      </w:pPr>
      <w:r>
        <w:rPr>
          <w:rFonts w:hint="eastAsia" w:ascii="楷体" w:hAnsi="楷体" w:eastAsia="楷体" w:cs="楷体"/>
          <w:spacing w:val="8"/>
          <w:sz w:val="31"/>
          <w:szCs w:val="31"/>
          <w:lang w:val="en-US" w:eastAsia="zh-CN"/>
        </w:rPr>
        <w:t>3.</w:t>
      </w:r>
      <w:r>
        <w:rPr>
          <w:rFonts w:hint="eastAsia" w:ascii="楷体" w:hAnsi="楷体" w:eastAsia="楷体" w:cs="楷体"/>
          <w:spacing w:val="8"/>
          <w:sz w:val="31"/>
          <w:szCs w:val="31"/>
        </w:rPr>
        <w:t>加强培训教育。</w:t>
      </w:r>
      <w:r>
        <w:rPr>
          <w:rFonts w:hint="eastAsia" w:ascii="仿宋" w:hAnsi="仿宋" w:eastAsia="仿宋" w:cs="仿宋"/>
          <w:spacing w:val="8"/>
          <w:sz w:val="31"/>
          <w:szCs w:val="31"/>
        </w:rPr>
        <w:t>全年，开展《政府信息公开条例》学习1次，解决工作中遇到的具体问题，通过明确科室工作责任，规范信息公开程序，提高政府信息公开质量；召开政务公开全清单业务培训1次，梳理委局属于主动公开的政府信息内容，在修订《东城区民政局政府信息主动公开全清单》的同时完善、调整全清单涉及的主动公开信息做好发布工作</w:t>
      </w:r>
    </w:p>
    <w:p>
      <w:pPr>
        <w:pStyle w:val="6"/>
        <w:keepNext w:val="0"/>
        <w:keepLines w:val="0"/>
        <w:pageBreakBefore w:val="0"/>
        <w:widowControl/>
        <w:suppressLineNumbers w:val="0"/>
        <w:kinsoku/>
        <w:wordWrap/>
        <w:overflowPunct/>
        <w:topLinePunct w:val="0"/>
        <w:autoSpaceDE w:val="0"/>
        <w:autoSpaceDN/>
        <w:bidi w:val="0"/>
        <w:adjustRightInd/>
        <w:snapToGrid w:val="0"/>
        <w:spacing w:before="0" w:beforeAutospacing="0" w:after="0" w:afterAutospacing="0" w:line="480" w:lineRule="exact"/>
        <w:ind w:left="0" w:leftChars="0" w:right="0" w:rightChars="0" w:firstLine="640"/>
        <w:jc w:val="both"/>
        <w:textAlignment w:val="auto"/>
        <w:outlineLvl w:val="9"/>
      </w:pPr>
      <w:r>
        <w:rPr>
          <w:rFonts w:hint="eastAsia" w:ascii="楷体" w:hAnsi="楷体" w:eastAsia="楷体" w:cs="楷体"/>
          <w:spacing w:val="8"/>
          <w:sz w:val="31"/>
          <w:szCs w:val="31"/>
          <w:lang w:val="en-US" w:eastAsia="zh-CN"/>
        </w:rPr>
        <w:t>4.规范政府信息公开平台建设。</w:t>
      </w:r>
      <w:r>
        <w:rPr>
          <w:rFonts w:hint="eastAsia" w:ascii="仿宋" w:hAnsi="仿宋" w:eastAsia="仿宋" w:cs="仿宋"/>
          <w:sz w:val="31"/>
          <w:szCs w:val="31"/>
        </w:rPr>
        <w:t>深入推进社会公益事业建设领域政府信息公开。全年，</w:t>
      </w:r>
      <w:r>
        <w:rPr>
          <w:rFonts w:hint="eastAsia" w:ascii="仿宋" w:hAnsi="仿宋" w:eastAsia="仿宋" w:cs="仿宋"/>
          <w:spacing w:val="8"/>
          <w:sz w:val="31"/>
          <w:szCs w:val="31"/>
        </w:rPr>
        <w:t>结合五公开要求，加强</w:t>
      </w:r>
      <w:r>
        <w:rPr>
          <w:rFonts w:hint="eastAsia" w:ascii="仿宋" w:hAnsi="仿宋" w:eastAsia="仿宋" w:cs="仿宋"/>
          <w:sz w:val="31"/>
          <w:szCs w:val="31"/>
        </w:rPr>
        <w:t>社会救助、社会福利、社会组织、养老服务、接受捐赠、慈善事业等领域的政策文件、办事程序、结果公示等政府信息的发布。</w:t>
      </w:r>
      <w:r>
        <w:rPr>
          <w:rFonts w:hint="eastAsia" w:ascii="仿宋" w:hAnsi="仿宋" w:eastAsia="仿宋" w:cs="仿宋"/>
          <w:spacing w:val="8"/>
          <w:sz w:val="31"/>
          <w:szCs w:val="31"/>
        </w:rPr>
        <w:t>设立“政策解读”专栏，</w:t>
      </w:r>
      <w:r>
        <w:rPr>
          <w:rFonts w:hint="eastAsia" w:ascii="仿宋" w:hAnsi="仿宋" w:eastAsia="仿宋" w:cs="仿宋"/>
          <w:sz w:val="31"/>
          <w:szCs w:val="31"/>
        </w:rPr>
        <w:t>通过撰写解读文章、深入解读政策背景、重点任务等信息，及时准确传递权威信息和政策意图。</w:t>
      </w:r>
      <w:r>
        <w:rPr>
          <w:rFonts w:hint="eastAsia" w:ascii="仿宋" w:hAnsi="仿宋" w:eastAsia="仿宋" w:cs="仿宋"/>
          <w:spacing w:val="8"/>
          <w:sz w:val="31"/>
          <w:szCs w:val="31"/>
        </w:rPr>
        <w:t>完善“行政执法公示”专栏信息，梳理发布权力清单、责任清单、处罚职权清单、政务服务事项等执法管理信息，充实一系列执法结果公示信息。重新细化整理已有栏目的分类，设立“调查征集、议案提案”等栏目，积极将“应公开尽公开”的要求落实到平台建设上。</w:t>
      </w:r>
    </w:p>
    <w:p>
      <w:pPr>
        <w:pStyle w:val="6"/>
        <w:keepNext w:val="0"/>
        <w:keepLines w:val="0"/>
        <w:pageBreakBefore w:val="0"/>
        <w:widowControl/>
        <w:suppressLineNumbers w:val="0"/>
        <w:kinsoku/>
        <w:wordWrap/>
        <w:overflowPunct/>
        <w:topLinePunct w:val="0"/>
        <w:autoSpaceDE w:val="0"/>
        <w:autoSpaceDN/>
        <w:bidi w:val="0"/>
        <w:adjustRightInd/>
        <w:snapToGrid w:val="0"/>
        <w:spacing w:before="0" w:beforeAutospacing="0" w:after="0" w:afterAutospacing="0" w:line="480" w:lineRule="exact"/>
        <w:ind w:left="0" w:leftChars="0" w:right="0" w:rightChars="0" w:firstLine="672"/>
        <w:jc w:val="both"/>
        <w:textAlignment w:val="auto"/>
        <w:outlineLvl w:val="9"/>
      </w:pPr>
      <w:r>
        <w:rPr>
          <w:rFonts w:hint="eastAsia" w:ascii="仿宋" w:hAnsi="仿宋" w:eastAsia="仿宋" w:cs="仿宋"/>
          <w:spacing w:val="8"/>
          <w:sz w:val="31"/>
          <w:szCs w:val="31"/>
        </w:rPr>
        <w:t>截止12月31日通过平台主动公开机构职责、机构设置、领导信息3条；政策类信息1条，政策解读1条；公益事业类信息72条；招考类信息3条；执法类信息52条；会议类信息83条；通知公告7条；规划计划、调查征集、回应关切、热点解答等信息8条；其他类信息81条。全年微信发布信息500篇，新闻报道176篇。</w:t>
      </w:r>
    </w:p>
    <w:p>
      <w:pPr>
        <w:pStyle w:val="6"/>
        <w:keepNext w:val="0"/>
        <w:keepLines w:val="0"/>
        <w:pageBreakBefore w:val="0"/>
        <w:widowControl/>
        <w:suppressLineNumbers w:val="0"/>
        <w:kinsoku/>
        <w:wordWrap/>
        <w:overflowPunct/>
        <w:topLinePunct w:val="0"/>
        <w:autoSpaceDE w:val="0"/>
        <w:autoSpaceDN/>
        <w:bidi w:val="0"/>
        <w:adjustRightInd/>
        <w:snapToGrid w:val="0"/>
        <w:spacing w:before="0" w:beforeAutospacing="0" w:after="0" w:afterAutospacing="0" w:line="480" w:lineRule="exact"/>
        <w:ind w:left="0" w:leftChars="0" w:right="0" w:rightChars="0" w:firstLine="672"/>
        <w:jc w:val="both"/>
        <w:textAlignment w:val="auto"/>
        <w:outlineLvl w:val="9"/>
      </w:pPr>
      <w:r>
        <w:rPr>
          <w:rFonts w:hint="eastAsia" w:ascii="楷体" w:hAnsi="楷体" w:eastAsia="楷体" w:cs="楷体"/>
          <w:spacing w:val="8"/>
          <w:sz w:val="31"/>
          <w:szCs w:val="31"/>
          <w:lang w:val="en-US" w:eastAsia="zh-CN"/>
        </w:rPr>
        <w:t>5.完成“政府开放日”宣传。</w:t>
      </w:r>
      <w:r>
        <w:rPr>
          <w:rFonts w:hint="eastAsia" w:ascii="仿宋" w:hAnsi="仿宋" w:eastAsia="仿宋" w:cs="仿宋"/>
          <w:spacing w:val="8"/>
          <w:sz w:val="31"/>
          <w:szCs w:val="31"/>
        </w:rPr>
        <w:t>2021年继续做好流浪乞讨宣传，录制“温暖东城、温馨救助”救助宣传片（第二集），向百姓宣讲救助管理政策、救助流程及如何正确帮扶流浪乞讨人员等知识，呼吁社会力量积极参与。</w:t>
      </w:r>
    </w:p>
    <w:p>
      <w:pPr>
        <w:pStyle w:val="6"/>
        <w:keepNext w:val="0"/>
        <w:keepLines w:val="0"/>
        <w:pageBreakBefore w:val="0"/>
        <w:widowControl/>
        <w:suppressLineNumbers w:val="0"/>
        <w:kinsoku/>
        <w:wordWrap/>
        <w:overflowPunct/>
        <w:topLinePunct w:val="0"/>
        <w:autoSpaceDE w:val="0"/>
        <w:autoSpaceDN/>
        <w:bidi w:val="0"/>
        <w:adjustRightInd/>
        <w:snapToGrid w:val="0"/>
        <w:spacing w:before="0" w:beforeAutospacing="0" w:after="0" w:afterAutospacing="0" w:line="480" w:lineRule="exact"/>
        <w:ind w:left="0" w:leftChars="0" w:right="0" w:rightChars="0" w:firstLine="640"/>
        <w:jc w:val="both"/>
        <w:textAlignment w:val="auto"/>
        <w:outlineLvl w:val="9"/>
      </w:pPr>
      <w:r>
        <w:rPr>
          <w:rFonts w:hint="eastAsia" w:ascii="楷体" w:hAnsi="楷体" w:eastAsia="楷体" w:cs="楷体"/>
          <w:b w:val="0"/>
          <w:sz w:val="31"/>
          <w:szCs w:val="31"/>
          <w:lang w:val="en-US" w:eastAsia="zh-CN"/>
        </w:rPr>
        <w:t>6.</w:t>
      </w:r>
      <w:r>
        <w:rPr>
          <w:rFonts w:hint="eastAsia" w:ascii="楷体" w:hAnsi="楷体" w:eastAsia="楷体" w:cs="楷体"/>
          <w:b w:val="0"/>
          <w:sz w:val="31"/>
          <w:szCs w:val="31"/>
        </w:rPr>
        <w:t>完善政务舆情工作。</w:t>
      </w:r>
      <w:r>
        <w:rPr>
          <w:rFonts w:hint="eastAsia" w:ascii="仿宋" w:hAnsi="仿宋" w:eastAsia="仿宋" w:cs="仿宋"/>
          <w:b w:val="0"/>
          <w:sz w:val="31"/>
          <w:szCs w:val="31"/>
        </w:rPr>
        <w:t>组建团队、建立舆情监测应对机制，积极应对政务舆情工作。截止12月31日未发生重大舆情事件。</w:t>
      </w:r>
    </w:p>
    <w:p>
      <w:pPr>
        <w:pStyle w:val="6"/>
        <w:keepNext w:val="0"/>
        <w:keepLines w:val="0"/>
        <w:pageBreakBefore w:val="0"/>
        <w:widowControl/>
        <w:suppressLineNumbers w:val="0"/>
        <w:kinsoku/>
        <w:wordWrap/>
        <w:overflowPunct/>
        <w:topLinePunct w:val="0"/>
        <w:autoSpaceDE w:val="0"/>
        <w:autoSpaceDN/>
        <w:bidi w:val="0"/>
        <w:adjustRightInd/>
        <w:snapToGrid w:val="0"/>
        <w:spacing w:before="0" w:beforeAutospacing="0" w:after="0" w:afterAutospacing="0" w:line="480" w:lineRule="exact"/>
        <w:ind w:left="0" w:leftChars="0" w:right="0" w:rightChars="0" w:firstLine="672"/>
        <w:jc w:val="both"/>
        <w:textAlignment w:val="auto"/>
        <w:outlineLvl w:val="9"/>
      </w:pPr>
      <w:r>
        <w:rPr>
          <w:rFonts w:hint="eastAsia" w:ascii="楷体" w:hAnsi="楷体" w:eastAsia="楷体" w:cs="楷体"/>
          <w:spacing w:val="8"/>
          <w:sz w:val="31"/>
          <w:szCs w:val="31"/>
          <w:lang w:val="en-US" w:eastAsia="zh-CN"/>
        </w:rPr>
        <w:t>7.做好依申请工作。</w:t>
      </w:r>
      <w:r>
        <w:rPr>
          <w:rFonts w:hint="eastAsia" w:ascii="仿宋" w:hAnsi="仿宋" w:eastAsia="仿宋" w:cs="仿宋"/>
          <w:spacing w:val="8"/>
          <w:sz w:val="31"/>
          <w:szCs w:val="31"/>
        </w:rPr>
        <w:t>开展依申请公开工作中，严格督促业务科室做好依申请公开初级受理，聘请律师顾问对答复材料进行审查。对于因延误答复时间而导致的行政复议或者诉讼案件，将严肃处理相关涉事人员。</w:t>
      </w:r>
      <w:r>
        <w:rPr>
          <w:rFonts w:hint="eastAsia" w:ascii="仿宋" w:hAnsi="仿宋" w:eastAsia="仿宋" w:cs="仿宋"/>
          <w:b w:val="0"/>
          <w:sz w:val="31"/>
          <w:szCs w:val="31"/>
        </w:rPr>
        <w:t>截止12月31日</w:t>
      </w:r>
      <w:r>
        <w:rPr>
          <w:rFonts w:hint="eastAsia" w:ascii="仿宋" w:hAnsi="仿宋" w:eastAsia="仿宋" w:cs="仿宋"/>
          <w:spacing w:val="8"/>
          <w:sz w:val="31"/>
          <w:szCs w:val="31"/>
        </w:rPr>
        <w:t>共收到政府信息公开申请2件，诉求内容涉及社会救助领域业务，均按《政府信息公开条例》要求在法定时限内给予答复。</w:t>
      </w:r>
      <w:r>
        <w:rPr>
          <w:rFonts w:hint="eastAsia" w:ascii="仿宋" w:hAnsi="仿宋" w:eastAsia="仿宋" w:cs="仿宋"/>
          <w:sz w:val="31"/>
          <w:szCs w:val="31"/>
        </w:rPr>
        <w:t>申请行政复议1件，此件</w:t>
      </w:r>
      <w:r>
        <w:rPr>
          <w:rFonts w:hint="eastAsia" w:ascii="仿宋" w:hAnsi="仿宋" w:eastAsia="仿宋" w:cs="仿宋"/>
          <w:spacing w:val="8"/>
          <w:sz w:val="31"/>
          <w:szCs w:val="31"/>
        </w:rPr>
        <w:t>已在答复时限内完成答复。</w:t>
      </w:r>
    </w:p>
    <w:p>
      <w:pPr>
        <w:numPr>
          <w:ilvl w:val="0"/>
          <w:numId w:val="0"/>
        </w:num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主动公开政府信息情况</w:t>
      </w:r>
    </w:p>
    <w:p>
      <w:pPr>
        <w:pStyle w:val="2"/>
        <w:numPr>
          <w:ilvl w:val="0"/>
          <w:numId w:val="0"/>
        </w:numPr>
        <w:rPr>
          <w:rFonts w:hint="eastAsia"/>
          <w:color w:val="auto"/>
        </w:rPr>
      </w:pPr>
    </w:p>
    <w:tbl>
      <w:tblPr>
        <w:tblStyle w:val="11"/>
        <w:tblW w:w="9760" w:type="dxa"/>
        <w:jc w:val="center"/>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40"/>
        <w:gridCol w:w="2440"/>
        <w:gridCol w:w="2440"/>
        <w:gridCol w:w="2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jc w:val="center"/>
        </w:trPr>
        <w:tc>
          <w:tcPr>
            <w:tcW w:w="976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jc w:val="center"/>
        </w:trPr>
        <w:tc>
          <w:tcPr>
            <w:tcW w:w="2440"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信息内容</w:t>
            </w:r>
          </w:p>
        </w:tc>
        <w:tc>
          <w:tcPr>
            <w:tcW w:w="2440"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本年制发件数</w:t>
            </w:r>
          </w:p>
        </w:tc>
        <w:tc>
          <w:tcPr>
            <w:tcW w:w="2440"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本年废止件数</w:t>
            </w:r>
          </w:p>
        </w:tc>
        <w:tc>
          <w:tcPr>
            <w:tcW w:w="2440"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jc w:val="center"/>
        </w:trPr>
        <w:tc>
          <w:tcPr>
            <w:tcW w:w="2440"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规章</w:t>
            </w:r>
          </w:p>
        </w:tc>
        <w:tc>
          <w:tcPr>
            <w:tcW w:w="2440"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cs="宋体"/>
                <w:color w:val="auto"/>
                <w:kern w:val="0"/>
                <w:sz w:val="20"/>
                <w:szCs w:val="20"/>
                <w:lang w:val="en-US" w:eastAsia="zh-CN"/>
              </w:rPr>
              <w:t>0</w:t>
            </w:r>
          </w:p>
        </w:tc>
        <w:tc>
          <w:tcPr>
            <w:tcW w:w="2440"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cs="宋体"/>
                <w:color w:val="auto"/>
                <w:kern w:val="0"/>
                <w:sz w:val="20"/>
                <w:szCs w:val="20"/>
                <w:lang w:val="en-US" w:eastAsia="zh-CN"/>
              </w:rPr>
              <w:t>0</w:t>
            </w:r>
          </w:p>
        </w:tc>
        <w:tc>
          <w:tcPr>
            <w:tcW w:w="2440"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jc w:val="center"/>
        </w:trPr>
        <w:tc>
          <w:tcPr>
            <w:tcW w:w="2440"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行政规范性文件</w:t>
            </w:r>
          </w:p>
        </w:tc>
        <w:tc>
          <w:tcPr>
            <w:tcW w:w="2440"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cs="宋体"/>
                <w:color w:val="auto"/>
                <w:kern w:val="0"/>
                <w:sz w:val="20"/>
                <w:szCs w:val="20"/>
                <w:lang w:val="en-US" w:eastAsia="zh-CN"/>
              </w:rPr>
              <w:t>0</w:t>
            </w:r>
          </w:p>
        </w:tc>
        <w:tc>
          <w:tcPr>
            <w:tcW w:w="2440"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cs="宋体"/>
                <w:color w:val="auto"/>
                <w:kern w:val="0"/>
                <w:sz w:val="20"/>
                <w:szCs w:val="20"/>
                <w:lang w:val="en-US" w:eastAsia="zh-CN"/>
              </w:rPr>
              <w:t>0</w:t>
            </w:r>
          </w:p>
        </w:tc>
        <w:tc>
          <w:tcPr>
            <w:tcW w:w="2440"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1"/>
                <w:szCs w:val="21"/>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jc w:val="center"/>
        </w:trPr>
        <w:tc>
          <w:tcPr>
            <w:tcW w:w="976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jc w:val="center"/>
        </w:trPr>
        <w:tc>
          <w:tcPr>
            <w:tcW w:w="2440"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信息内容</w:t>
            </w:r>
          </w:p>
        </w:tc>
        <w:tc>
          <w:tcPr>
            <w:tcW w:w="7320"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jc w:val="center"/>
        </w:trPr>
        <w:tc>
          <w:tcPr>
            <w:tcW w:w="2440"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行政许可</w:t>
            </w:r>
          </w:p>
        </w:tc>
        <w:tc>
          <w:tcPr>
            <w:tcW w:w="7320"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1"/>
                <w:szCs w:val="21"/>
                <w:lang w:val="en-US" w:eastAsia="zh-CN"/>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jc w:val="center"/>
        </w:trPr>
        <w:tc>
          <w:tcPr>
            <w:tcW w:w="976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jc w:val="center"/>
        </w:trPr>
        <w:tc>
          <w:tcPr>
            <w:tcW w:w="2440"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信息内容</w:t>
            </w:r>
          </w:p>
        </w:tc>
        <w:tc>
          <w:tcPr>
            <w:tcW w:w="7320"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jc w:val="center"/>
        </w:trPr>
        <w:tc>
          <w:tcPr>
            <w:tcW w:w="2440"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行政处罚</w:t>
            </w:r>
          </w:p>
        </w:tc>
        <w:tc>
          <w:tcPr>
            <w:tcW w:w="7320"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cs="宋体"/>
                <w:color w:val="auto"/>
                <w:kern w:val="0"/>
                <w:sz w:val="20"/>
                <w:szCs w:val="20"/>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jc w:val="center"/>
        </w:trPr>
        <w:tc>
          <w:tcPr>
            <w:tcW w:w="2440"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行政强制</w:t>
            </w:r>
          </w:p>
        </w:tc>
        <w:tc>
          <w:tcPr>
            <w:tcW w:w="7320"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cs="宋体"/>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jc w:val="center"/>
        </w:trPr>
        <w:tc>
          <w:tcPr>
            <w:tcW w:w="976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jc w:val="center"/>
        </w:trPr>
        <w:tc>
          <w:tcPr>
            <w:tcW w:w="2440"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信息内容</w:t>
            </w:r>
          </w:p>
        </w:tc>
        <w:tc>
          <w:tcPr>
            <w:tcW w:w="7320"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6" w:hRule="atLeast"/>
          <w:jc w:val="center"/>
        </w:trPr>
        <w:tc>
          <w:tcPr>
            <w:tcW w:w="2440"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行政事业性收费</w:t>
            </w:r>
          </w:p>
        </w:tc>
        <w:tc>
          <w:tcPr>
            <w:tcW w:w="7320" w:type="dxa"/>
            <w:gridSpan w:val="3"/>
            <w:tcBorders>
              <w:top w:val="nil"/>
              <w:left w:val="nil"/>
              <w:bottom w:val="single" w:color="auto" w:sz="8" w:space="0"/>
              <w:right w:val="single" w:color="000000" w:sz="8" w:space="0"/>
            </w:tcBorders>
            <w:tcMar>
              <w:left w:w="57" w:type="dxa"/>
              <w:right w:w="57" w:type="dxa"/>
            </w:tcMar>
            <w:vAlign w:val="center"/>
          </w:tcPr>
          <w:p>
            <w:pPr>
              <w:jc w:val="center"/>
              <w:rPr>
                <w:rFonts w:hint="eastAsia" w:ascii="宋体" w:eastAsia="宋体"/>
                <w:color w:val="auto"/>
                <w:sz w:val="24"/>
                <w:szCs w:val="24"/>
                <w:lang w:val="en-US" w:eastAsia="zh-CN"/>
              </w:rPr>
            </w:pPr>
            <w:r>
              <w:rPr>
                <w:rFonts w:hint="eastAsia" w:ascii="宋体"/>
                <w:color w:val="auto"/>
                <w:sz w:val="24"/>
                <w:szCs w:val="24"/>
                <w:lang w:val="en-US" w:eastAsia="zh-CN"/>
              </w:rPr>
              <w:t>0</w:t>
            </w:r>
          </w:p>
        </w:tc>
      </w:tr>
    </w:tbl>
    <w:p>
      <w:pPr>
        <w:pStyle w:val="2"/>
        <w:numPr>
          <w:ilvl w:val="0"/>
          <w:numId w:val="0"/>
        </w:numPr>
        <w:rPr>
          <w:rFonts w:hint="eastAsia"/>
          <w:color w:val="auto"/>
        </w:rPr>
      </w:pPr>
    </w:p>
    <w:p>
      <w:pPr>
        <w:pStyle w:val="2"/>
        <w:numPr>
          <w:ilvl w:val="0"/>
          <w:numId w:val="0"/>
        </w:numPr>
        <w:rPr>
          <w:rFonts w:hint="eastAsia"/>
          <w:color w:val="auto"/>
        </w:rPr>
      </w:pPr>
      <w:r>
        <w:rPr>
          <w:rFonts w:hint="eastAsia"/>
          <w:color w:val="auto"/>
        </w:rPr>
        <w:br w:type="page"/>
      </w:r>
    </w:p>
    <w:p>
      <w:pPr>
        <w:numPr>
          <w:ilvl w:val="0"/>
          <w:numId w:val="0"/>
        </w:num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收到和处理政府信息公开申请情况</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auto"/>
          <w:spacing w:val="0"/>
          <w:sz w:val="24"/>
          <w:szCs w:val="24"/>
        </w:rPr>
      </w:pPr>
    </w:p>
    <w:tbl>
      <w:tblPr>
        <w:tblStyle w:val="11"/>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ascii="楷体" w:hAnsi="楷体" w:eastAsia="楷体" w:cs="楷体"/>
                <w:color w:val="auto"/>
                <w:kern w:val="0"/>
                <w:sz w:val="20"/>
                <w:szCs w:val="20"/>
                <w:lang w:val="en-US" w:eastAsia="zh-CN"/>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color w:val="auto"/>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color w:val="auto"/>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hint="eastAsia" w:ascii="宋体"/>
                <w:color w:val="auto"/>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商业</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科研</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hint="eastAsia" w:ascii="宋体"/>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2</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（二）部分公开</w:t>
            </w:r>
            <w:r>
              <w:rPr>
                <w:rFonts w:hint="default" w:ascii="楷体" w:hAnsi="楷体" w:eastAsia="楷体" w:cs="楷体"/>
                <w:color w:val="auto"/>
                <w:kern w:val="0"/>
                <w:sz w:val="20"/>
                <w:szCs w:val="20"/>
                <w:lang w:val="en-US" w:eastAsia="zh-CN"/>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2</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四、结转下年度继续办理</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color w:val="auto"/>
                <w:sz w:val="24"/>
                <w:szCs w:val="24"/>
              </w:rPr>
            </w:pPr>
            <w:r>
              <w:rPr>
                <w:rFonts w:hint="eastAsia" w:ascii="Calibri" w:hAnsi="Calibri" w:cs="Calibri"/>
                <w:color w:val="auto"/>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color w:val="auto"/>
                <w:sz w:val="24"/>
                <w:szCs w:val="24"/>
              </w:rPr>
            </w:pPr>
            <w:r>
              <w:rPr>
                <w:rFonts w:hint="eastAsia" w:ascii="Calibri" w:hAnsi="Calibri" w:cs="Calibri"/>
                <w:color w:val="auto"/>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color w:val="auto"/>
                <w:sz w:val="24"/>
                <w:szCs w:val="24"/>
              </w:rPr>
            </w:pPr>
            <w:r>
              <w:rPr>
                <w:rFonts w:hint="eastAsia" w:ascii="Calibri" w:hAnsi="Calibri" w:cs="Calibri"/>
                <w:color w:val="auto"/>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color w:val="auto"/>
                <w:sz w:val="24"/>
                <w:szCs w:val="24"/>
              </w:rPr>
            </w:pPr>
            <w:r>
              <w:rPr>
                <w:rFonts w:hint="eastAsia" w:ascii="Calibri" w:hAnsi="Calibri" w:cs="Calibri"/>
                <w:color w:val="auto"/>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color w:val="auto"/>
                <w:sz w:val="24"/>
                <w:szCs w:val="24"/>
              </w:rPr>
            </w:pPr>
            <w:r>
              <w:rPr>
                <w:rFonts w:hint="eastAsia" w:ascii="Calibri" w:hAnsi="Calibri" w:cs="Calibri"/>
                <w:color w:val="auto"/>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color w:val="auto"/>
                <w:sz w:val="24"/>
                <w:szCs w:val="24"/>
              </w:rPr>
            </w:pPr>
            <w:r>
              <w:rPr>
                <w:rFonts w:hint="eastAsia" w:ascii="Calibri" w:hAnsi="Calibri" w:cs="Calibri"/>
                <w:color w:val="auto"/>
                <w:kern w:val="0"/>
                <w:sz w:val="20"/>
                <w:szCs w:val="20"/>
                <w:lang w:val="en-US" w:eastAsia="zh-CN"/>
              </w:rPr>
              <w:t>0</w:t>
            </w:r>
          </w:p>
        </w:tc>
        <w:tc>
          <w:tcPr>
            <w:tcW w:w="689"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color w:val="auto"/>
                <w:sz w:val="24"/>
                <w:szCs w:val="24"/>
              </w:rPr>
            </w:pPr>
            <w:r>
              <w:rPr>
                <w:rFonts w:hint="eastAsia" w:ascii="Calibri" w:hAnsi="Calibri" w:cs="Calibri"/>
                <w:color w:val="auto"/>
                <w:kern w:val="0"/>
                <w:sz w:val="20"/>
                <w:szCs w:val="20"/>
                <w:lang w:val="en-US" w:eastAsia="zh-CN"/>
              </w:rPr>
              <w:t>0</w:t>
            </w:r>
          </w:p>
        </w:tc>
      </w:tr>
    </w:tbl>
    <w:p>
      <w:pPr>
        <w:pStyle w:val="2"/>
        <w:numPr>
          <w:ilvl w:val="0"/>
          <w:numId w:val="0"/>
        </w:numPr>
        <w:ind w:leftChars="200"/>
        <w:rPr>
          <w:rFonts w:hint="eastAsia"/>
          <w:color w:val="auto"/>
        </w:rPr>
      </w:pPr>
    </w:p>
    <w:p>
      <w:pPr>
        <w:pStyle w:val="2"/>
        <w:numPr>
          <w:ilvl w:val="0"/>
          <w:numId w:val="0"/>
        </w:numPr>
        <w:ind w:leftChars="200"/>
        <w:rPr>
          <w:rFonts w:hint="eastAsia"/>
          <w:color w:val="auto"/>
        </w:rPr>
      </w:pPr>
      <w:r>
        <w:rPr>
          <w:rFonts w:hint="eastAsia"/>
          <w:color w:val="auto"/>
        </w:rPr>
        <w:br w:type="textWrapping"/>
      </w:r>
    </w:p>
    <w:p>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四、政府信息公开行政复议、行政诉讼情况</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p>
    <w:tbl>
      <w:tblPr>
        <w:tblStyle w:val="11"/>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结果</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其他</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尚未</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结果</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结果</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其他</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尚未</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结果</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结果</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其他</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尚未</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黑体" w:hAnsi="宋体" w:eastAsia="黑体" w:cs="黑体"/>
                <w:color w:val="auto"/>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黑体" w:hAnsi="宋体" w:eastAsia="黑体" w:cs="黑体"/>
                <w:color w:val="auto"/>
                <w:kern w:val="0"/>
                <w:sz w:val="20"/>
                <w:szCs w:val="20"/>
                <w:lang w:val="en-US" w:eastAsia="zh-CN"/>
              </w:rPr>
              <w:t>1</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黑体" w:hAnsi="宋体" w:eastAsia="黑体" w:cs="黑体"/>
                <w:color w:val="auto"/>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黑体" w:hAnsi="宋体" w:eastAsia="黑体" w:cs="黑体"/>
                <w:color w:val="auto"/>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黑体" w:hAnsi="宋体" w:eastAsia="黑体" w:cs="黑体"/>
                <w:color w:val="auto"/>
                <w:kern w:val="0"/>
                <w:sz w:val="20"/>
                <w:szCs w:val="20"/>
                <w:lang w:val="en-US" w:eastAsia="zh-CN"/>
              </w:rPr>
              <w:t>1</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黑体" w:hAnsi="宋体" w:eastAsia="黑体" w:cs="黑体"/>
                <w:color w:val="auto"/>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黑体" w:hAnsi="宋体" w:eastAsia="黑体" w:cs="黑体"/>
                <w:color w:val="auto"/>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黑体" w:hAnsi="宋体" w:eastAsia="黑体" w:cs="黑体"/>
                <w:color w:val="auto"/>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黑体" w:hAnsi="宋体" w:eastAsia="黑体" w:cs="黑体"/>
                <w:color w:val="auto"/>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黑体" w:hAnsi="宋体" w:eastAsia="黑体" w:cs="黑体"/>
                <w:color w:val="auto"/>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黑体" w:hAnsi="宋体" w:eastAsia="黑体" w:cs="黑体"/>
                <w:color w:val="auto"/>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黑体" w:hAnsi="宋体" w:eastAsia="黑体" w:cs="黑体"/>
                <w:color w:val="auto"/>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黑体" w:hAnsi="宋体" w:eastAsia="黑体" w:cs="黑体"/>
                <w:color w:val="auto"/>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黑体" w:hAnsi="宋体" w:eastAsia="黑体" w:cs="黑体"/>
                <w:color w:val="auto"/>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ascii="宋体" w:eastAsia="宋体"/>
                <w:color w:val="auto"/>
                <w:sz w:val="24"/>
                <w:szCs w:val="24"/>
                <w:lang w:val="en-US" w:eastAsia="zh-CN"/>
              </w:rPr>
            </w:pPr>
            <w:r>
              <w:rPr>
                <w:rFonts w:hint="eastAsia" w:ascii="宋体"/>
                <w:color w:val="auto"/>
                <w:sz w:val="24"/>
                <w:szCs w:val="24"/>
                <w:lang w:val="en-US" w:eastAsia="zh-CN"/>
              </w:rPr>
              <w:t>0</w:t>
            </w:r>
          </w:p>
        </w:tc>
      </w:tr>
    </w:tbl>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672" w:firstLineChars="200"/>
        <w:jc w:val="both"/>
        <w:textAlignment w:val="auto"/>
        <w:outlineLvl w:val="9"/>
        <w:rPr>
          <w:rFonts w:hint="eastAsia" w:ascii="黑体" w:hAnsi="黑体" w:eastAsia="黑体" w:cs="黑体"/>
          <w:color w:val="auto"/>
          <w:spacing w:val="8"/>
          <w:kern w:val="0"/>
          <w:sz w:val="32"/>
          <w:szCs w:val="32"/>
        </w:rPr>
      </w:pPr>
      <w:r>
        <w:rPr>
          <w:rFonts w:hint="eastAsia" w:ascii="黑体" w:hAnsi="黑体" w:eastAsia="黑体" w:cs="黑体"/>
          <w:color w:val="auto"/>
          <w:spacing w:val="8"/>
          <w:kern w:val="0"/>
          <w:sz w:val="32"/>
          <w:szCs w:val="32"/>
        </w:rPr>
        <w:t>五、存在的主要问题及改进情况</w:t>
      </w:r>
    </w:p>
    <w:p>
      <w:pPr>
        <w:keepNext w:val="0"/>
        <w:keepLines w:val="0"/>
        <w:pageBreakBefore w:val="0"/>
        <w:widowControl/>
        <w:kinsoku/>
        <w:wordWrap/>
        <w:overflowPunct/>
        <w:topLinePunct w:val="0"/>
        <w:autoSpaceDE/>
        <w:autoSpaceDN/>
        <w:bidi w:val="0"/>
        <w:adjustRightInd/>
        <w:snapToGrid w:val="0"/>
        <w:spacing w:line="480" w:lineRule="exact"/>
        <w:ind w:left="0" w:leftChars="0" w:right="0" w:rightChars="0" w:firstLine="672" w:firstLineChars="200"/>
        <w:jc w:val="both"/>
        <w:textAlignment w:val="auto"/>
        <w:outlineLvl w:val="9"/>
        <w:rPr>
          <w:rFonts w:hint="eastAsia" w:ascii="仿宋" w:hAnsi="仿宋" w:eastAsia="仿宋" w:cs="仿宋"/>
          <w:color w:val="auto"/>
          <w:spacing w:val="8"/>
          <w:kern w:val="0"/>
          <w:sz w:val="32"/>
          <w:szCs w:val="32"/>
        </w:rPr>
      </w:pPr>
      <w:r>
        <w:rPr>
          <w:rFonts w:hint="eastAsia" w:ascii="仿宋" w:hAnsi="仿宋" w:eastAsia="仿宋" w:cs="仿宋"/>
          <w:color w:val="auto"/>
          <w:spacing w:val="8"/>
          <w:kern w:val="0"/>
          <w:sz w:val="32"/>
          <w:szCs w:val="32"/>
        </w:rPr>
        <w:t>2021年，我局政府信息公开工作存在一些不足：一是主动公开的内容和形式有待丰富；二是依申请公开的办理能力有待提升。</w:t>
      </w:r>
      <w:r>
        <w:rPr>
          <w:rFonts w:hint="eastAsia" w:ascii="仿宋" w:hAnsi="仿宋" w:eastAsia="仿宋" w:cs="仿宋"/>
          <w:color w:val="auto"/>
          <w:spacing w:val="8"/>
          <w:kern w:val="0"/>
          <w:sz w:val="32"/>
          <w:szCs w:val="32"/>
          <w:lang w:val="en-US" w:eastAsia="zh-CN"/>
        </w:rPr>
        <w:t>2022年</w:t>
      </w:r>
      <w:r>
        <w:rPr>
          <w:rFonts w:hint="eastAsia" w:ascii="仿宋" w:hAnsi="仿宋" w:eastAsia="仿宋" w:cs="仿宋"/>
          <w:color w:val="auto"/>
          <w:spacing w:val="8"/>
          <w:kern w:val="0"/>
          <w:sz w:val="32"/>
          <w:szCs w:val="32"/>
        </w:rPr>
        <w:t>我们将继续加大与市、区两级的沟通交流，</w:t>
      </w:r>
      <w:r>
        <w:rPr>
          <w:rFonts w:hint="eastAsia" w:ascii="仿宋" w:hAnsi="仿宋" w:eastAsia="仿宋" w:cs="仿宋"/>
          <w:color w:val="auto"/>
          <w:spacing w:val="8"/>
          <w:kern w:val="0"/>
          <w:sz w:val="32"/>
          <w:szCs w:val="32"/>
          <w:lang w:eastAsia="zh-CN"/>
        </w:rPr>
        <w:t>在</w:t>
      </w:r>
      <w:r>
        <w:rPr>
          <w:rFonts w:hint="eastAsia" w:ascii="仿宋" w:hAnsi="仿宋" w:eastAsia="仿宋" w:cs="仿宋"/>
          <w:color w:val="auto"/>
          <w:spacing w:val="8"/>
          <w:kern w:val="0"/>
          <w:sz w:val="32"/>
          <w:szCs w:val="32"/>
        </w:rPr>
        <w:t>加强政府信息公开条例、依申请</w:t>
      </w:r>
      <w:r>
        <w:rPr>
          <w:rFonts w:hint="eastAsia" w:ascii="仿宋" w:hAnsi="仿宋" w:eastAsia="仿宋" w:cs="仿宋"/>
          <w:color w:val="auto"/>
          <w:spacing w:val="8"/>
          <w:kern w:val="0"/>
          <w:sz w:val="32"/>
          <w:szCs w:val="32"/>
          <w:lang w:eastAsia="zh-CN"/>
        </w:rPr>
        <w:t>办理</w:t>
      </w:r>
      <w:r>
        <w:rPr>
          <w:rFonts w:hint="eastAsia" w:ascii="仿宋" w:hAnsi="仿宋" w:eastAsia="仿宋" w:cs="仿宋"/>
          <w:color w:val="auto"/>
          <w:spacing w:val="8"/>
          <w:kern w:val="0"/>
          <w:sz w:val="32"/>
          <w:szCs w:val="32"/>
        </w:rPr>
        <w:t>业务的学习，提高干部政府信息公开责任意识及依申请办理能力</w:t>
      </w:r>
      <w:r>
        <w:rPr>
          <w:rFonts w:hint="eastAsia" w:ascii="仿宋" w:hAnsi="仿宋" w:eastAsia="仿宋" w:cs="仿宋"/>
          <w:color w:val="auto"/>
          <w:spacing w:val="8"/>
          <w:kern w:val="0"/>
          <w:sz w:val="32"/>
          <w:szCs w:val="32"/>
          <w:lang w:eastAsia="zh-CN"/>
        </w:rPr>
        <w:t>，</w:t>
      </w:r>
      <w:r>
        <w:rPr>
          <w:rFonts w:hint="eastAsia" w:ascii="仿宋" w:hAnsi="仿宋" w:eastAsia="仿宋" w:cs="仿宋"/>
          <w:color w:val="auto"/>
          <w:spacing w:val="8"/>
          <w:kern w:val="0"/>
          <w:sz w:val="32"/>
          <w:szCs w:val="32"/>
        </w:rPr>
        <w:t>同时进一步充实和完善主动公开内容。</w:t>
      </w:r>
    </w:p>
    <w:p>
      <w:pPr>
        <w:keepNext w:val="0"/>
        <w:keepLines w:val="0"/>
        <w:pageBreakBefore w:val="0"/>
        <w:widowControl/>
        <w:kinsoku/>
        <w:wordWrap/>
        <w:overflowPunct/>
        <w:topLinePunct w:val="0"/>
        <w:autoSpaceDE/>
        <w:autoSpaceDN/>
        <w:bidi w:val="0"/>
        <w:adjustRightInd/>
        <w:snapToGrid w:val="0"/>
        <w:spacing w:line="480" w:lineRule="exact"/>
        <w:ind w:left="0" w:leftChars="0" w:right="0" w:rightChars="0" w:firstLine="672" w:firstLineChars="200"/>
        <w:jc w:val="both"/>
        <w:textAlignment w:val="auto"/>
        <w:outlineLvl w:val="9"/>
        <w:rPr>
          <w:rFonts w:hint="eastAsia" w:ascii="仿宋" w:hAnsi="仿宋" w:eastAsia="仿宋" w:cs="仿宋"/>
          <w:color w:val="auto"/>
          <w:spacing w:val="8"/>
          <w:kern w:val="0"/>
          <w:sz w:val="32"/>
          <w:szCs w:val="32"/>
        </w:rPr>
      </w:pPr>
      <w:r>
        <w:rPr>
          <w:rFonts w:hint="eastAsia" w:ascii="黑体" w:hAnsi="黑体" w:eastAsia="黑体" w:cs="黑体"/>
          <w:color w:val="auto"/>
          <w:spacing w:val="8"/>
          <w:kern w:val="0"/>
          <w:sz w:val="32"/>
          <w:szCs w:val="32"/>
        </w:rPr>
        <w:t>六、其他需要报告的事项</w:t>
      </w:r>
    </w:p>
    <w:p>
      <w:pPr>
        <w:keepNext w:val="0"/>
        <w:keepLines w:val="0"/>
        <w:pageBreakBefore w:val="0"/>
        <w:widowControl/>
        <w:kinsoku/>
        <w:wordWrap/>
        <w:overflowPunct/>
        <w:topLinePunct w:val="0"/>
        <w:autoSpaceDE/>
        <w:autoSpaceDN/>
        <w:bidi w:val="0"/>
        <w:adjustRightInd/>
        <w:snapToGrid w:val="0"/>
        <w:spacing w:line="480" w:lineRule="exact"/>
        <w:ind w:left="0" w:leftChars="0" w:right="0" w:rightChars="0" w:firstLine="672" w:firstLineChars="200"/>
        <w:jc w:val="both"/>
        <w:textAlignment w:val="auto"/>
        <w:outlineLvl w:val="9"/>
        <w:rPr>
          <w:rFonts w:hint="eastAsia" w:ascii="仿宋" w:hAnsi="仿宋" w:eastAsia="仿宋" w:cs="仿宋"/>
          <w:color w:val="auto"/>
          <w:spacing w:val="8"/>
          <w:kern w:val="0"/>
          <w:sz w:val="32"/>
          <w:szCs w:val="32"/>
        </w:rPr>
      </w:pPr>
      <w:r>
        <w:rPr>
          <w:rFonts w:hint="eastAsia" w:ascii="仿宋" w:hAnsi="仿宋" w:eastAsia="仿宋" w:cs="仿宋"/>
          <w:color w:val="auto"/>
          <w:spacing w:val="8"/>
          <w:kern w:val="0"/>
          <w:sz w:val="32"/>
          <w:szCs w:val="32"/>
          <w:lang w:eastAsia="zh-CN"/>
        </w:rPr>
        <w:t>我局</w:t>
      </w:r>
      <w:r>
        <w:rPr>
          <w:rFonts w:hint="eastAsia" w:ascii="仿宋" w:hAnsi="仿宋" w:eastAsia="仿宋" w:cs="仿宋"/>
          <w:color w:val="auto"/>
          <w:spacing w:val="8"/>
          <w:kern w:val="0"/>
          <w:sz w:val="32"/>
          <w:szCs w:val="32"/>
        </w:rPr>
        <w:t>依据《政府信息公开信息处理费管理办法》收取信息处理费，发出收费通知的件数和总金额以及实际收取的总金额均为0。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val="0"/>
        <w:spacing w:before="0" w:beforeAutospacing="0" w:after="0" w:afterAutospacing="0" w:line="480" w:lineRule="exact"/>
        <w:ind w:left="0" w:leftChars="0" w:right="0" w:rightChars="0" w:firstLine="420"/>
        <w:jc w:val="both"/>
        <w:textAlignment w:val="auto"/>
        <w:rPr>
          <w:rFonts w:hint="eastAsia" w:ascii="仿宋" w:hAnsi="仿宋" w:eastAsia="仿宋" w:cs="仿宋"/>
          <w:spacing w:val="8"/>
          <w:sz w:val="31"/>
          <w:szCs w:val="31"/>
        </w:rPr>
      </w:pPr>
      <w:r>
        <w:rPr>
          <w:rFonts w:ascii="仿宋" w:hAnsi="仿宋" w:eastAsia="仿宋" w:cs="仿宋"/>
          <w:spacing w:val="8"/>
          <w:sz w:val="31"/>
          <w:szCs w:val="31"/>
        </w:rPr>
        <w:t>北京市东城区人民政府门户网站（</w:t>
      </w:r>
      <w:r>
        <w:rPr>
          <w:rFonts w:hint="eastAsia" w:ascii="仿宋" w:hAnsi="仿宋" w:eastAsia="仿宋" w:cs="仿宋"/>
          <w:spacing w:val="8"/>
          <w:sz w:val="31"/>
          <w:szCs w:val="31"/>
        </w:rPr>
        <w:t>“数字东城”）网址为</w:t>
      </w:r>
      <w:r>
        <w:rPr>
          <w:rFonts w:hint="eastAsia" w:ascii="仿宋" w:hAnsi="仿宋" w:eastAsia="仿宋" w:cs="仿宋"/>
          <w:spacing w:val="8"/>
          <w:sz w:val="31"/>
          <w:szCs w:val="31"/>
        </w:rPr>
        <w:fldChar w:fldCharType="begin"/>
      </w:r>
      <w:r>
        <w:rPr>
          <w:rFonts w:hint="eastAsia" w:ascii="仿宋" w:hAnsi="仿宋" w:eastAsia="仿宋" w:cs="仿宋"/>
          <w:spacing w:val="8"/>
          <w:sz w:val="31"/>
          <w:szCs w:val="31"/>
        </w:rPr>
        <w:instrText xml:space="preserve"> HYPERLINK "http://www.bjdch.gov.cn/" </w:instrText>
      </w:r>
      <w:r>
        <w:rPr>
          <w:rFonts w:hint="eastAsia" w:ascii="仿宋" w:hAnsi="仿宋" w:eastAsia="仿宋" w:cs="仿宋"/>
          <w:spacing w:val="8"/>
          <w:sz w:val="31"/>
          <w:szCs w:val="31"/>
        </w:rPr>
        <w:fldChar w:fldCharType="separate"/>
      </w:r>
      <w:r>
        <w:rPr>
          <w:rStyle w:val="10"/>
          <w:rFonts w:hint="eastAsia" w:ascii="仿宋" w:hAnsi="仿宋" w:eastAsia="仿宋" w:cs="仿宋"/>
          <w:spacing w:val="8"/>
          <w:sz w:val="31"/>
          <w:szCs w:val="31"/>
        </w:rPr>
        <w:t>http://www.bjdch.gov.cn/</w:t>
      </w:r>
      <w:r>
        <w:rPr>
          <w:rFonts w:hint="eastAsia" w:ascii="仿宋" w:hAnsi="仿宋" w:eastAsia="仿宋" w:cs="仿宋"/>
          <w:spacing w:val="8"/>
          <w:sz w:val="31"/>
          <w:szCs w:val="31"/>
        </w:rPr>
        <w:fldChar w:fldCharType="end"/>
      </w:r>
      <w:r>
        <w:rPr>
          <w:rFonts w:hint="eastAsia" w:ascii="仿宋" w:hAnsi="仿宋" w:eastAsia="仿宋" w:cs="仿宋"/>
          <w:spacing w:val="8"/>
          <w:sz w:val="31"/>
          <w:szCs w:val="31"/>
        </w:rPr>
        <w:t>，如需了解更多政府信息，请登录查询。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val="0"/>
        <w:spacing w:before="0" w:beforeAutospacing="0" w:after="0" w:afterAutospacing="0" w:line="480" w:lineRule="exact"/>
        <w:ind w:left="0" w:leftChars="0" w:right="0" w:rightChars="0" w:firstLine="420"/>
        <w:jc w:val="both"/>
        <w:textAlignment w:val="auto"/>
        <w:rPr>
          <w:rFonts w:hint="eastAsia" w:ascii="仿宋" w:hAnsi="仿宋" w:eastAsia="仿宋" w:cs="仿宋"/>
          <w:spacing w:val="8"/>
          <w:sz w:val="31"/>
          <w:szCs w:val="31"/>
        </w:rPr>
      </w:pPr>
      <w:r>
        <w:rPr>
          <w:rFonts w:hint="eastAsia" w:ascii="仿宋" w:hAnsi="仿宋" w:eastAsia="仿宋" w:cs="仿宋"/>
          <w:color w:val="auto"/>
          <w:spacing w:val="8"/>
          <w:kern w:val="0"/>
          <w:sz w:val="32"/>
          <w:szCs w:val="32"/>
        </w:rPr>
        <w:t>无其他报告事项。</w:t>
      </w:r>
    </w:p>
    <w:p>
      <w:pPr>
        <w:pStyle w:val="2"/>
        <w:rPr>
          <w:rFonts w:hint="eastAsia"/>
        </w:rPr>
      </w:pPr>
    </w:p>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672" w:firstLineChars="200"/>
        <w:jc w:val="both"/>
        <w:textAlignment w:val="auto"/>
        <w:outlineLvl w:val="9"/>
        <w:rPr>
          <w:rFonts w:hint="eastAsia" w:ascii="仿宋" w:hAnsi="仿宋" w:eastAsia="仿宋" w:cs="仿宋"/>
          <w:color w:val="auto"/>
          <w:spacing w:val="8"/>
          <w:kern w:val="0"/>
          <w:sz w:val="32"/>
          <w:szCs w:val="32"/>
        </w:rPr>
      </w:pPr>
    </w:p>
    <w:p>
      <w:pPr>
        <w:keepNext w:val="0"/>
        <w:keepLines w:val="0"/>
        <w:pageBreakBefore w:val="0"/>
        <w:widowControl/>
        <w:kinsoku/>
        <w:wordWrap/>
        <w:overflowPunct/>
        <w:topLinePunct w:val="0"/>
        <w:autoSpaceDE/>
        <w:autoSpaceDN/>
        <w:bidi w:val="0"/>
        <w:snapToGrid w:val="0"/>
        <w:spacing w:line="480" w:lineRule="exact"/>
        <w:ind w:left="0" w:leftChars="0" w:right="0" w:rightChars="0"/>
        <w:jc w:val="both"/>
        <w:textAlignment w:val="auto"/>
        <w:rPr>
          <w:rFonts w:hint="eastAsia" w:ascii="黑体" w:hAnsi="黑体" w:eastAsia="黑体" w:cs="黑体"/>
          <w:color w:val="auto"/>
          <w:spacing w:val="8"/>
          <w:kern w:val="0"/>
          <w:sz w:val="32"/>
          <w:szCs w:val="32"/>
        </w:rPr>
      </w:pPr>
    </w:p>
    <w:p>
      <w:pPr>
        <w:keepNext w:val="0"/>
        <w:keepLines w:val="0"/>
        <w:pageBreakBefore w:val="0"/>
        <w:widowControl/>
        <w:kinsoku/>
        <w:wordWrap/>
        <w:overflowPunct/>
        <w:topLinePunct w:val="0"/>
        <w:autoSpaceDE/>
        <w:autoSpaceDN/>
        <w:bidi w:val="0"/>
        <w:snapToGrid w:val="0"/>
        <w:spacing w:line="480" w:lineRule="exact"/>
        <w:ind w:left="0" w:leftChars="0" w:right="0" w:rightChars="0"/>
        <w:jc w:val="both"/>
        <w:textAlignment w:val="auto"/>
        <w:rPr>
          <w:rFonts w:hint="eastAsia" w:ascii="仿宋" w:hAnsi="仿宋" w:eastAsia="仿宋" w:cs="仿宋"/>
        </w:rPr>
      </w:pPr>
    </w:p>
    <w:p>
      <w:pPr>
        <w:pStyle w:val="2"/>
        <w:rPr>
          <w:rFonts w:hint="eastAsia"/>
        </w:rPr>
      </w:pPr>
    </w:p>
    <w:p>
      <w:pPr>
        <w:pStyle w:val="2"/>
        <w:rPr>
          <w:rFonts w:hint="eastAsia"/>
        </w:rPr>
      </w:pPr>
    </w:p>
    <w:p>
      <w:pPr>
        <w:pStyle w:val="2"/>
        <w:rPr>
          <w:rFonts w:hint="eastAsia"/>
        </w:rPr>
      </w:pPr>
    </w:p>
    <w:p>
      <w:pPr>
        <w:pStyle w:val="2"/>
        <w:rPr>
          <w:rFonts w:hint="eastAsia" w:ascii="仿宋" w:hAnsi="仿宋" w:eastAsia="仿宋" w:cs="仿宋_GB2312"/>
          <w:sz w:val="32"/>
          <w:szCs w:val="32"/>
        </w:rPr>
      </w:pP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等线">
    <w:altName w:val="宋体"/>
    <w:panose1 w:val="00000000000000000000"/>
    <w:charset w:val="86"/>
    <w:family w:val="roman"/>
    <w:pitch w:val="default"/>
    <w:sig w:usb0="00000000" w:usb1="00000000" w:usb2="00000010" w:usb3="00000000" w:csb0="00040000" w:csb1="00000000"/>
  </w:font>
  <w:font w:name="FontAweso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 w:name="仿宋GB2312">
    <w:altName w:val="仿宋"/>
    <w:panose1 w:val="00000000000000000000"/>
    <w:charset w:val="00"/>
    <w:family w:val="auto"/>
    <w:pitch w:val="default"/>
    <w:sig w:usb0="00000000" w:usb1="00000000" w:usb2="00000000" w:usb3="00000000" w:csb0="00040001" w:csb1="00000000"/>
  </w:font>
  <w:font w:name="Calibri Light">
    <w:altName w:val="Calibri"/>
    <w:panose1 w:val="020F0302020204030204"/>
    <w:charset w:val="00"/>
    <w:family w:val="swiss"/>
    <w:pitch w:val="default"/>
    <w:sig w:usb0="00000000" w:usb1="00000000" w:usb2="00000000" w:usb3="00000000" w:csb0="2000019F" w:csb1="00000000"/>
  </w:font>
  <w:font w:name="方正魏碑简体">
    <w:panose1 w:val="02010601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粗黑宋简体">
    <w:panose1 w:val="02000000000000000000"/>
    <w:charset w:val="86"/>
    <w:family w:val="auto"/>
    <w:pitch w:val="default"/>
    <w:sig w:usb0="A00002BF" w:usb1="184F6CFA" w:usb2="00000012" w:usb3="00000000" w:csb0="00040001"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AEnpyGy&#10;AQAASgMAAA4AAAAAAAAAAQAgAAAAHwEAAGRycy9lMm9Eb2MueG1sUEsFBgAAAAAGAAYAWQEAAEMF&#10;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7E9"/>
    <w:rsid w:val="000A3B2D"/>
    <w:rsid w:val="000C3C7A"/>
    <w:rsid w:val="00172A27"/>
    <w:rsid w:val="001F6AC2"/>
    <w:rsid w:val="00223719"/>
    <w:rsid w:val="00235231"/>
    <w:rsid w:val="002B77AA"/>
    <w:rsid w:val="002C43D6"/>
    <w:rsid w:val="003210C4"/>
    <w:rsid w:val="00393EEB"/>
    <w:rsid w:val="003C4D77"/>
    <w:rsid w:val="00414561"/>
    <w:rsid w:val="00440131"/>
    <w:rsid w:val="00440F2B"/>
    <w:rsid w:val="004A4BF4"/>
    <w:rsid w:val="004B6409"/>
    <w:rsid w:val="00511EF0"/>
    <w:rsid w:val="005A0405"/>
    <w:rsid w:val="005A44C4"/>
    <w:rsid w:val="005B5666"/>
    <w:rsid w:val="005E0BED"/>
    <w:rsid w:val="005E4970"/>
    <w:rsid w:val="005F3880"/>
    <w:rsid w:val="006470F9"/>
    <w:rsid w:val="007260BD"/>
    <w:rsid w:val="00757FCE"/>
    <w:rsid w:val="007862D6"/>
    <w:rsid w:val="007A180B"/>
    <w:rsid w:val="008B1BEA"/>
    <w:rsid w:val="009360C3"/>
    <w:rsid w:val="009F7EB0"/>
    <w:rsid w:val="00A02280"/>
    <w:rsid w:val="00A31072"/>
    <w:rsid w:val="00A511DA"/>
    <w:rsid w:val="00A93CE4"/>
    <w:rsid w:val="00A96017"/>
    <w:rsid w:val="00AC560A"/>
    <w:rsid w:val="00B020D1"/>
    <w:rsid w:val="00B63A76"/>
    <w:rsid w:val="00B944E7"/>
    <w:rsid w:val="00BD1EFA"/>
    <w:rsid w:val="00BE1A3A"/>
    <w:rsid w:val="00C16F6D"/>
    <w:rsid w:val="00C46DD7"/>
    <w:rsid w:val="00C64613"/>
    <w:rsid w:val="00C71943"/>
    <w:rsid w:val="00CE3514"/>
    <w:rsid w:val="00D03B97"/>
    <w:rsid w:val="00D754D8"/>
    <w:rsid w:val="00D86A7B"/>
    <w:rsid w:val="00DC3BB6"/>
    <w:rsid w:val="00DF54EE"/>
    <w:rsid w:val="00E06636"/>
    <w:rsid w:val="00E204CC"/>
    <w:rsid w:val="00E40B8D"/>
    <w:rsid w:val="00F401B9"/>
    <w:rsid w:val="00FE0CBB"/>
    <w:rsid w:val="015E68D1"/>
    <w:rsid w:val="01D0041C"/>
    <w:rsid w:val="02B73E03"/>
    <w:rsid w:val="02FD6B22"/>
    <w:rsid w:val="03AA3F18"/>
    <w:rsid w:val="0444100C"/>
    <w:rsid w:val="04B871DC"/>
    <w:rsid w:val="04C523E5"/>
    <w:rsid w:val="05927F9F"/>
    <w:rsid w:val="061043AF"/>
    <w:rsid w:val="063D400F"/>
    <w:rsid w:val="07173589"/>
    <w:rsid w:val="07BE40C2"/>
    <w:rsid w:val="085B374C"/>
    <w:rsid w:val="088B6E37"/>
    <w:rsid w:val="09BA5C05"/>
    <w:rsid w:val="0A4906D2"/>
    <w:rsid w:val="0A5449BD"/>
    <w:rsid w:val="0B6017B9"/>
    <w:rsid w:val="0DB23146"/>
    <w:rsid w:val="0E2E4765"/>
    <w:rsid w:val="0EE37632"/>
    <w:rsid w:val="10F70AE6"/>
    <w:rsid w:val="11935B60"/>
    <w:rsid w:val="11EC0FF2"/>
    <w:rsid w:val="123654D6"/>
    <w:rsid w:val="125664A3"/>
    <w:rsid w:val="12DA4F7E"/>
    <w:rsid w:val="15042E03"/>
    <w:rsid w:val="16176ECF"/>
    <w:rsid w:val="168C2214"/>
    <w:rsid w:val="186F5E9F"/>
    <w:rsid w:val="18A24505"/>
    <w:rsid w:val="19B74C1D"/>
    <w:rsid w:val="1C222D36"/>
    <w:rsid w:val="1C40120E"/>
    <w:rsid w:val="1C47275C"/>
    <w:rsid w:val="1C850733"/>
    <w:rsid w:val="1D4F3C10"/>
    <w:rsid w:val="1DBE6FEE"/>
    <w:rsid w:val="1DE37776"/>
    <w:rsid w:val="1E6C4F30"/>
    <w:rsid w:val="200B59E9"/>
    <w:rsid w:val="2039313C"/>
    <w:rsid w:val="20F4351F"/>
    <w:rsid w:val="21EE06C0"/>
    <w:rsid w:val="220E5FDF"/>
    <w:rsid w:val="23B53941"/>
    <w:rsid w:val="24273147"/>
    <w:rsid w:val="24727C4D"/>
    <w:rsid w:val="269F3400"/>
    <w:rsid w:val="26B92096"/>
    <w:rsid w:val="26DC5ACE"/>
    <w:rsid w:val="275C569C"/>
    <w:rsid w:val="29284F7F"/>
    <w:rsid w:val="293D7A75"/>
    <w:rsid w:val="2A2F549F"/>
    <w:rsid w:val="2AA7627A"/>
    <w:rsid w:val="2B9844FA"/>
    <w:rsid w:val="2C9A5EC1"/>
    <w:rsid w:val="2D047420"/>
    <w:rsid w:val="2D35073C"/>
    <w:rsid w:val="2F2B43BA"/>
    <w:rsid w:val="30806B9E"/>
    <w:rsid w:val="316B1BA5"/>
    <w:rsid w:val="31DD3749"/>
    <w:rsid w:val="32AF4A56"/>
    <w:rsid w:val="33A10D3B"/>
    <w:rsid w:val="345F2533"/>
    <w:rsid w:val="34B11EE1"/>
    <w:rsid w:val="35E04767"/>
    <w:rsid w:val="36996009"/>
    <w:rsid w:val="37242B85"/>
    <w:rsid w:val="37342E1F"/>
    <w:rsid w:val="379F3AAA"/>
    <w:rsid w:val="37B82A79"/>
    <w:rsid w:val="37D261A1"/>
    <w:rsid w:val="38477332"/>
    <w:rsid w:val="39C84EDD"/>
    <w:rsid w:val="3A3D4E9C"/>
    <w:rsid w:val="3BA06262"/>
    <w:rsid w:val="3C8342D6"/>
    <w:rsid w:val="3D0059A4"/>
    <w:rsid w:val="3EF117E7"/>
    <w:rsid w:val="3F8024B0"/>
    <w:rsid w:val="3F827426"/>
    <w:rsid w:val="403E235F"/>
    <w:rsid w:val="408A4515"/>
    <w:rsid w:val="41336AA7"/>
    <w:rsid w:val="41A82BB0"/>
    <w:rsid w:val="428A4EA2"/>
    <w:rsid w:val="436B0EEC"/>
    <w:rsid w:val="44F32561"/>
    <w:rsid w:val="46346668"/>
    <w:rsid w:val="467276B3"/>
    <w:rsid w:val="46957D4E"/>
    <w:rsid w:val="472D6E53"/>
    <w:rsid w:val="47B972B3"/>
    <w:rsid w:val="48624CD1"/>
    <w:rsid w:val="4AA71688"/>
    <w:rsid w:val="4B1D1510"/>
    <w:rsid w:val="4C6F71B7"/>
    <w:rsid w:val="4CB06383"/>
    <w:rsid w:val="4E7735C7"/>
    <w:rsid w:val="4F946EBF"/>
    <w:rsid w:val="50621E6E"/>
    <w:rsid w:val="51FD0EA1"/>
    <w:rsid w:val="52D43103"/>
    <w:rsid w:val="554524F7"/>
    <w:rsid w:val="55805A3F"/>
    <w:rsid w:val="55F35D98"/>
    <w:rsid w:val="58E20764"/>
    <w:rsid w:val="59256B84"/>
    <w:rsid w:val="59FA0BA4"/>
    <w:rsid w:val="5C85343F"/>
    <w:rsid w:val="5E011730"/>
    <w:rsid w:val="5ECC7840"/>
    <w:rsid w:val="5FB55714"/>
    <w:rsid w:val="60EA3D13"/>
    <w:rsid w:val="60F2511B"/>
    <w:rsid w:val="633C39DB"/>
    <w:rsid w:val="63847E28"/>
    <w:rsid w:val="64446ECD"/>
    <w:rsid w:val="64972B08"/>
    <w:rsid w:val="65432745"/>
    <w:rsid w:val="661962DC"/>
    <w:rsid w:val="66D7084A"/>
    <w:rsid w:val="67037D1B"/>
    <w:rsid w:val="671C17CC"/>
    <w:rsid w:val="674C7846"/>
    <w:rsid w:val="67716B82"/>
    <w:rsid w:val="683F3FB4"/>
    <w:rsid w:val="68917716"/>
    <w:rsid w:val="68B1527B"/>
    <w:rsid w:val="69D46E61"/>
    <w:rsid w:val="6B4C7395"/>
    <w:rsid w:val="6C1E056F"/>
    <w:rsid w:val="6D0E597B"/>
    <w:rsid w:val="6DC72BAB"/>
    <w:rsid w:val="6E8C5810"/>
    <w:rsid w:val="70222C83"/>
    <w:rsid w:val="71B5409B"/>
    <w:rsid w:val="74610F82"/>
    <w:rsid w:val="75342D58"/>
    <w:rsid w:val="756013D3"/>
    <w:rsid w:val="77776320"/>
    <w:rsid w:val="77921B28"/>
    <w:rsid w:val="79EA0AFF"/>
    <w:rsid w:val="7BDF75D6"/>
    <w:rsid w:val="7C666463"/>
    <w:rsid w:val="7C8E6D8A"/>
    <w:rsid w:val="7F4B253A"/>
    <w:rsid w:val="7F5275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link w:val="8"/>
    <w:unhideWhenUsed/>
    <w:uiPriority w:val="1"/>
    <w:rPr>
      <w:rFonts w:ascii="Tahoma" w:hAnsi="Tahoma"/>
      <w:sz w:val="24"/>
      <w:szCs w:val="20"/>
    </w:rPr>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alloon Text"/>
    <w:basedOn w:val="1"/>
    <w:link w:val="17"/>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spacing w:before="100" w:beforeAutospacing="1" w:after="100" w:afterAutospacing="1"/>
      <w:ind w:left="0" w:right="0"/>
      <w:jc w:val="left"/>
    </w:pPr>
    <w:rPr>
      <w:kern w:val="0"/>
      <w:sz w:val="24"/>
      <w:lang w:val="en-US" w:eastAsia="zh-CN"/>
    </w:rPr>
  </w:style>
  <w:style w:type="paragraph" w:customStyle="1" w:styleId="8">
    <w:name w:val=" Char Char1"/>
    <w:basedOn w:val="1"/>
    <w:link w:val="7"/>
    <w:qFormat/>
    <w:uiPriority w:val="0"/>
    <w:rPr>
      <w:rFonts w:ascii="Tahoma" w:hAnsi="Tahoma"/>
      <w:sz w:val="24"/>
      <w:szCs w:val="20"/>
    </w:rPr>
  </w:style>
  <w:style w:type="character" w:styleId="9">
    <w:name w:val="page number"/>
    <w:basedOn w:val="7"/>
    <w:unhideWhenUsed/>
    <w:qFormat/>
    <w:uiPriority w:val="99"/>
  </w:style>
  <w:style w:type="character" w:styleId="10">
    <w:name w:val="Hyperlink"/>
    <w:basedOn w:val="7"/>
    <w:unhideWhenUsed/>
    <w:qFormat/>
    <w:uiPriority w:val="0"/>
    <w:rPr>
      <w:color w:val="000000"/>
      <w:u w:val="none"/>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_Style 6"/>
    <w:basedOn w:val="1"/>
    <w:qFormat/>
    <w:uiPriority w:val="0"/>
    <w:rPr>
      <w:szCs w:val="20"/>
    </w:rPr>
  </w:style>
  <w:style w:type="paragraph" w:customStyle="1" w:styleId="14">
    <w:name w:val="1"/>
    <w:basedOn w:val="1"/>
    <w:qFormat/>
    <w:uiPriority w:val="0"/>
    <w:rPr>
      <w:rFonts w:ascii="Tahoma" w:hAnsi="Tahoma"/>
      <w:sz w:val="24"/>
      <w:szCs w:val="20"/>
    </w:rPr>
  </w:style>
  <w:style w:type="character" w:customStyle="1" w:styleId="15">
    <w:name w:val="页眉 Char"/>
    <w:basedOn w:val="7"/>
    <w:link w:val="5"/>
    <w:qFormat/>
    <w:uiPriority w:val="99"/>
    <w:rPr>
      <w:rFonts w:ascii="Times New Roman" w:hAnsi="Times New Roman" w:eastAsia="宋体" w:cs="Times New Roman"/>
      <w:sz w:val="18"/>
      <w:szCs w:val="18"/>
    </w:rPr>
  </w:style>
  <w:style w:type="character" w:customStyle="1" w:styleId="16">
    <w:name w:val="页脚 Char"/>
    <w:basedOn w:val="7"/>
    <w:link w:val="4"/>
    <w:qFormat/>
    <w:uiPriority w:val="99"/>
    <w:rPr>
      <w:rFonts w:ascii="Times New Roman" w:hAnsi="Times New Roman" w:eastAsia="宋体" w:cs="Times New Roman"/>
      <w:sz w:val="18"/>
      <w:szCs w:val="18"/>
    </w:rPr>
  </w:style>
  <w:style w:type="character" w:customStyle="1" w:styleId="17">
    <w:name w:val="批注框文本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3286</Words>
  <Characters>3364</Characters>
  <Lines>7</Lines>
  <Paragraphs>2</Paragraphs>
  <ScaleCrop>false</ScaleCrop>
  <LinksUpToDate>false</LinksUpToDate>
  <CharactersWithSpaces>3366</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2019-03-21T10:11:00Z</dcterms:created>
  <dc:creator>李曼</dc:creator>
  <cp:lastModifiedBy>Administrator</cp:lastModifiedBy>
  <cp:lastPrinted>2022-01-13T07:42:00Z</cp:lastPrinted>
  <dcterms:modified xsi:type="dcterms:W3CDTF">2022-01-21T07:39:39Z</dcterms:modified>
  <dc:title>关于抓紧整改政务新媒体的通知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