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年，本行政机关认真学习、积极贯彻落实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《政府信息公开条例》的要求，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明确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行政首长负总责、分管局领导亲自抓、科室具体落实的组织领导工作制度。日常工作中，局办公室牵头抓总，局各科室部门协同推进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结合司法行政工作实际，强化工作措施，扎实开展工作，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切实完成好了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各项工作任务。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）主动公开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本行政机关通过“北京市东城区人民政府门户网站”对机关职能、机构设置、办公地址、办公时间、联系方式、负责人姓名等信息进行公开，全年公开相关信息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条；并及时公开财政预算、决算信息2条；本行政机关主要通过“北京市东城区人民政府门户网站”、“法治东城”微信公众号、“东城司法”政务微博发布政府信息，202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年主动公开各类政府信息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条。其中，网站发布信息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条，微信公众号发布信息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369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条，政务微博发布信息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176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）依申请公开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年共收到政府信息公开申请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件，申请人均为自然人，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另有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为上年度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结转继续办理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件按期答复。其中，部分公开1件，不予公开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，无法提供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2件，其他处理1件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）政府信息公开平台建设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本行政机关持续</w:t>
      </w:r>
      <w:r>
        <w:rPr>
          <w:rFonts w:hint="eastAsia" w:ascii="仿宋_GB2312" w:hAnsi="微软雅黑" w:eastAsia="仿宋_GB2312" w:cs="仿宋_GB2312"/>
          <w:sz w:val="32"/>
          <w:szCs w:val="32"/>
        </w:rPr>
        <w:t>在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微软雅黑" w:eastAsia="仿宋_GB2312" w:cs="仿宋_GB2312"/>
          <w:sz w:val="32"/>
          <w:szCs w:val="32"/>
        </w:rPr>
        <w:t>政府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门户</w:t>
      </w:r>
      <w:r>
        <w:rPr>
          <w:rFonts w:hint="eastAsia" w:ascii="仿宋_GB2312" w:hAnsi="微软雅黑" w:eastAsia="仿宋_GB2312" w:cs="仿宋_GB2312"/>
          <w:sz w:val="32"/>
          <w:szCs w:val="32"/>
        </w:rPr>
        <w:t>网站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及新媒体平台</w:t>
      </w:r>
      <w:r>
        <w:rPr>
          <w:rFonts w:hint="eastAsia" w:ascii="仿宋_GB2312" w:hAnsi="微软雅黑" w:eastAsia="仿宋_GB2312" w:cs="仿宋_GB2312"/>
          <w:sz w:val="32"/>
          <w:szCs w:val="32"/>
        </w:rPr>
        <w:t>等途径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更新</w:t>
      </w:r>
      <w:r>
        <w:rPr>
          <w:rFonts w:hint="eastAsia" w:ascii="仿宋_GB2312" w:hAnsi="微软雅黑" w:eastAsia="仿宋_GB2312" w:cs="仿宋_GB2312"/>
          <w:sz w:val="32"/>
          <w:szCs w:val="32"/>
        </w:rPr>
        <w:t>相关信息，</w:t>
      </w: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微软雅黑" w:eastAsia="仿宋_GB2312" w:cs="仿宋_GB2312"/>
          <w:sz w:val="32"/>
          <w:szCs w:val="32"/>
        </w:rPr>
        <w:t>完善公开专栏，及时上传主动公开信息，保障信息公开渠道的畅通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，不断提升服务区委、区政府决策，服务群众的能力和水平。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）教育培训和监督保障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持续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加强政府信息公开工作的队伍管理，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积极参加全区政务公开和政府信息公开业务培训，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结合工作实际，对各科室部门负责专题专栏信息发布的工作人员进行业务培训，加强政府信息公开工作管理，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不断提升做好政务公开、政府信息主动公开和依申请公开的能力水平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切实做到责任明确，流程规范，确保信息公开工作有序开展，严格做到信息发布规范、完整、准确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落实全年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政务公开工作要点</w:t>
      </w:r>
    </w:p>
    <w:p>
      <w:pPr>
        <w:widowControl/>
        <w:spacing w:line="560" w:lineRule="exact"/>
        <w:ind w:firstLine="672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本行政机关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先后开展涉及行政处罚内容、与外资法不符、涉及计划生育内容的行政规范性文件清理三次，每次清理均明确清理程序、标准和范围，按照“谁起草、谁清理”的原则，对以区政府、区政府办公室及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名义制发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的行政规范性文件进行清理确认。清理结果已对外进行共公布。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0.4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要继续完善政府信息公开工作机制。各科室间的沟通协调联动制度机制还存在一定欠缺。下一步将逐步完善各项工作制度，进一步明确职责权限，持续加强协调沟通，以制度建设推进本行政机关政府信息公开工作；二是要持续丰富政策解读形式，在政府信息内容上提升公众满意度。在信息公开内容和形式的多样化上还存在一定欠缺。下一步将积极丰富信息展现方式，探索开拓更多的政务公开新途径，在政府信息利用便捷方面更好的满足公众需求；三是要着力提升政府信息公开工作人员业务水平。在政府信息公开工作人员业务培训上还存在一定欠缺。下一步将根据实际情况，多措并举，进一步把教育培训和工作实践相结合，切实提升政府信息公开工作人员的业务能力和水平，扎实推进政府信息公开工作常态化、规范化、制度化开展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本行政机关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未产生信息处理费情况，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widowControl/>
        <w:spacing w:line="560" w:lineRule="exact"/>
        <w:ind w:firstLine="672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95F01"/>
    <w:rsid w:val="008E4BD3"/>
    <w:rsid w:val="030236FA"/>
    <w:rsid w:val="042245DF"/>
    <w:rsid w:val="068F3F0F"/>
    <w:rsid w:val="080113A0"/>
    <w:rsid w:val="089774C2"/>
    <w:rsid w:val="095C415B"/>
    <w:rsid w:val="09915487"/>
    <w:rsid w:val="09A56AFD"/>
    <w:rsid w:val="0A232770"/>
    <w:rsid w:val="0A402052"/>
    <w:rsid w:val="0CE83C0F"/>
    <w:rsid w:val="0E995F01"/>
    <w:rsid w:val="0EB21CB0"/>
    <w:rsid w:val="0F9B3AD4"/>
    <w:rsid w:val="113769A3"/>
    <w:rsid w:val="1274003C"/>
    <w:rsid w:val="15A945B6"/>
    <w:rsid w:val="17673726"/>
    <w:rsid w:val="182F4E9B"/>
    <w:rsid w:val="19796FFB"/>
    <w:rsid w:val="19D57193"/>
    <w:rsid w:val="1B9C21EC"/>
    <w:rsid w:val="1CD27ED6"/>
    <w:rsid w:val="202E0D29"/>
    <w:rsid w:val="20372C50"/>
    <w:rsid w:val="232149C9"/>
    <w:rsid w:val="23974036"/>
    <w:rsid w:val="245B32CD"/>
    <w:rsid w:val="2690631B"/>
    <w:rsid w:val="28D26F32"/>
    <w:rsid w:val="299C333B"/>
    <w:rsid w:val="2A2E6B5D"/>
    <w:rsid w:val="2AE238C0"/>
    <w:rsid w:val="2D107813"/>
    <w:rsid w:val="2E6977EE"/>
    <w:rsid w:val="2F651C12"/>
    <w:rsid w:val="333040F2"/>
    <w:rsid w:val="33DC3248"/>
    <w:rsid w:val="34474919"/>
    <w:rsid w:val="356E544E"/>
    <w:rsid w:val="369B533D"/>
    <w:rsid w:val="391A4453"/>
    <w:rsid w:val="3AF031A0"/>
    <w:rsid w:val="3C3C481D"/>
    <w:rsid w:val="3C3C5178"/>
    <w:rsid w:val="3F4A5788"/>
    <w:rsid w:val="3FB062CE"/>
    <w:rsid w:val="3FD43054"/>
    <w:rsid w:val="40681FB8"/>
    <w:rsid w:val="40CC596A"/>
    <w:rsid w:val="433B0E38"/>
    <w:rsid w:val="4494765F"/>
    <w:rsid w:val="44C064F9"/>
    <w:rsid w:val="49AB6282"/>
    <w:rsid w:val="4A3133EF"/>
    <w:rsid w:val="4A4645B3"/>
    <w:rsid w:val="4AC46009"/>
    <w:rsid w:val="4F5A2E4C"/>
    <w:rsid w:val="50C6096A"/>
    <w:rsid w:val="53DE6B18"/>
    <w:rsid w:val="57EA42C5"/>
    <w:rsid w:val="5A320FE2"/>
    <w:rsid w:val="5AD56A7C"/>
    <w:rsid w:val="5CC15D0A"/>
    <w:rsid w:val="5F381ECB"/>
    <w:rsid w:val="5F545996"/>
    <w:rsid w:val="5F6B5F2D"/>
    <w:rsid w:val="61DD5352"/>
    <w:rsid w:val="66452B5F"/>
    <w:rsid w:val="68EA5E85"/>
    <w:rsid w:val="69C37E1C"/>
    <w:rsid w:val="6A525FA2"/>
    <w:rsid w:val="6B221951"/>
    <w:rsid w:val="6D8B1EF0"/>
    <w:rsid w:val="6DAD6293"/>
    <w:rsid w:val="6E6E1A3E"/>
    <w:rsid w:val="6EAC0628"/>
    <w:rsid w:val="71042C1E"/>
    <w:rsid w:val="731B2ED2"/>
    <w:rsid w:val="735339CB"/>
    <w:rsid w:val="738E2FD3"/>
    <w:rsid w:val="73E45F84"/>
    <w:rsid w:val="752201A9"/>
    <w:rsid w:val="763C2845"/>
    <w:rsid w:val="76DC17E3"/>
    <w:rsid w:val="781A7158"/>
    <w:rsid w:val="7A3706F4"/>
    <w:rsid w:val="7A6E4BD1"/>
    <w:rsid w:val="7AD140E8"/>
    <w:rsid w:val="7FD2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2022-01-04T02:29:00Z</dcterms:created>
  <dc:creator>金泽雄</dc:creator>
  <cp:lastModifiedBy>金泽雄</cp:lastModifiedBy>
  <cp:lastPrinted>2022-01-06T07:32:00Z</cp:lastPrinted>
  <dcterms:modified xsi:type="dcterms:W3CDTF">2022-01-21T03:24:26Z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