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东城区住房和城市建设委员会</w:t>
      </w:r>
    </w:p>
    <w:p>
      <w:pPr>
        <w:spacing w:line="5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年政府信息公开工作年度报告</w:t>
      </w:r>
    </w:p>
    <w:p>
      <w:pPr>
        <w:spacing w:line="560" w:lineRule="exact"/>
        <w:jc w:val="center"/>
        <w:rPr>
          <w:sz w:val="44"/>
          <w:szCs w:val="44"/>
        </w:rPr>
      </w:pP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5"/>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w:t>
      </w: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年，区住建委认真落实国务院和北京市关于全面推进政务公开的决策部署，严格落实新修订的《政府信息公开条例》要求，按照《北京市东城区202</w:t>
      </w: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年政务公开要点》等要求，履行法定公开义务，全面提升政务公开质量和实效，依法做好主动公开和依申请公开答复工作。</w:t>
      </w:r>
    </w:p>
    <w:p>
      <w:pPr>
        <w:pStyle w:val="3"/>
        <w:shd w:val="clear" w:color="auto" w:fill="FFFFFF"/>
        <w:spacing w:before="0" w:beforeAutospacing="0" w:after="0" w:afterAutospacing="0" w:line="560" w:lineRule="exact"/>
        <w:ind w:firstLine="640"/>
        <w:jc w:val="both"/>
        <w:rPr>
          <w:rFonts w:ascii="楷体_GB2312" w:hAnsi="微软雅黑" w:eastAsia="楷体_GB2312"/>
          <w:color w:val="000000"/>
          <w:sz w:val="32"/>
          <w:szCs w:val="32"/>
        </w:rPr>
      </w:pPr>
      <w:r>
        <w:rPr>
          <w:rFonts w:hint="eastAsia" w:ascii="楷体_GB2312" w:hAnsi="微软雅黑" w:eastAsia="楷体_GB2312"/>
          <w:color w:val="000000"/>
          <w:sz w:val="32"/>
          <w:szCs w:val="32"/>
        </w:rPr>
        <w:t>（一）组织领导</w:t>
      </w:r>
    </w:p>
    <w:p>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left"/>
        <w:textAlignment w:val="auto"/>
        <w:outlineLvl w:val="9"/>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w:t>
      </w: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年，</w:t>
      </w:r>
      <w:r>
        <w:rPr>
          <w:rFonts w:hint="eastAsia" w:ascii="Times New Roman" w:hAnsi="Times New Roman" w:eastAsia="仿宋_GB2312" w:cs="Times New Roman"/>
          <w:kern w:val="2"/>
          <w:sz w:val="32"/>
          <w:szCs w:val="32"/>
          <w:lang w:val="en-US" w:eastAsia="zh-CN" w:bidi="ar-SA"/>
        </w:rPr>
        <w:t>区住建委加强主动公开工作组织领导力，主要领导专题研究政务信息主动公开工作落实方案，强化任务分解、责任到人。</w:t>
      </w:r>
      <w:r>
        <w:rPr>
          <w:rFonts w:hint="eastAsia" w:eastAsia="仿宋_GB2312" w:cs="Times New Roman"/>
          <w:kern w:val="2"/>
          <w:sz w:val="32"/>
          <w:szCs w:val="32"/>
          <w:lang w:val="en-US" w:eastAsia="zh-CN" w:bidi="ar-SA"/>
        </w:rPr>
        <w:t>同时</w:t>
      </w:r>
      <w:r>
        <w:rPr>
          <w:rFonts w:hint="eastAsia" w:ascii="Times New Roman" w:hAnsi="Times New Roman" w:eastAsia="仿宋_GB2312" w:cs="Times New Roman"/>
          <w:kern w:val="2"/>
          <w:sz w:val="32"/>
          <w:szCs w:val="32"/>
          <w:lang w:val="en-US" w:eastAsia="zh-CN" w:bidi="ar-SA"/>
        </w:rPr>
        <w:t>加强对主动公开工作质量、时限、全面性等多维度考核，有效提升了我委主动公开工作实效。</w:t>
      </w:r>
    </w:p>
    <w:p>
      <w:pPr>
        <w:pStyle w:val="3"/>
        <w:shd w:val="clear" w:color="auto" w:fill="FFFFFF"/>
        <w:spacing w:before="0" w:beforeAutospacing="0" w:after="0" w:afterAutospacing="0" w:line="560" w:lineRule="exact"/>
        <w:ind w:firstLine="640"/>
        <w:jc w:val="both"/>
        <w:rPr>
          <w:rFonts w:ascii="楷体_GB2312" w:hAnsi="微软雅黑" w:eastAsia="楷体_GB2312"/>
          <w:color w:val="000000"/>
          <w:sz w:val="32"/>
          <w:szCs w:val="32"/>
        </w:rPr>
      </w:pPr>
      <w:r>
        <w:rPr>
          <w:rFonts w:hint="eastAsia" w:ascii="楷体_GB2312" w:hAnsi="微软雅黑" w:eastAsia="楷体_GB2312"/>
          <w:color w:val="000000"/>
          <w:sz w:val="32"/>
          <w:szCs w:val="32"/>
        </w:rPr>
        <w:t>（</w:t>
      </w:r>
      <w:r>
        <w:rPr>
          <w:rFonts w:hint="eastAsia" w:ascii="楷体_GB2312" w:hAnsi="微软雅黑" w:eastAsia="楷体_GB2312"/>
          <w:color w:val="000000"/>
          <w:sz w:val="32"/>
          <w:szCs w:val="32"/>
          <w:lang w:eastAsia="zh-CN"/>
        </w:rPr>
        <w:t>二</w:t>
      </w:r>
      <w:r>
        <w:rPr>
          <w:rFonts w:hint="eastAsia" w:ascii="楷体_GB2312" w:hAnsi="微软雅黑" w:eastAsia="楷体_GB2312"/>
          <w:color w:val="000000"/>
          <w:sz w:val="32"/>
          <w:szCs w:val="32"/>
        </w:rPr>
        <w:t>）</w:t>
      </w:r>
      <w:r>
        <w:rPr>
          <w:rFonts w:hint="default" w:ascii="楷体_GB2312" w:hAnsi="微软雅黑" w:eastAsia="楷体_GB2312"/>
          <w:color w:val="000000"/>
          <w:sz w:val="32"/>
          <w:szCs w:val="32"/>
          <w:lang w:val="en-US" w:eastAsia="zh-CN"/>
        </w:rPr>
        <w:t>主动公开情况</w:t>
      </w:r>
    </w:p>
    <w:p>
      <w:pPr>
        <w:keepNext w:val="0"/>
        <w:keepLines w:val="0"/>
        <w:pageBreakBefore w:val="0"/>
        <w:numPr>
          <w:ilvl w:val="0"/>
          <w:numId w:val="0"/>
        </w:numPr>
        <w:kinsoku/>
        <w:wordWrap/>
        <w:overflowPunct/>
        <w:topLinePunct w:val="0"/>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z w:val="32"/>
          <w:szCs w:val="32"/>
          <w:highlight w:val="yellow"/>
          <w:lang w:val="en-US" w:eastAsia="zh-CN"/>
        </w:rPr>
      </w:pPr>
      <w:r>
        <w:rPr>
          <w:rFonts w:hint="eastAsia" w:ascii="Times New Roman" w:hAnsi="Times New Roman" w:eastAsia="仿宋_GB2312" w:cs="Times New Roman"/>
          <w:kern w:val="2"/>
          <w:sz w:val="32"/>
          <w:szCs w:val="32"/>
          <w:lang w:val="en-US" w:eastAsia="zh-CN" w:bidi="ar-SA"/>
        </w:rPr>
        <w:t>2021年</w:t>
      </w:r>
      <w:r>
        <w:rPr>
          <w:rFonts w:hint="default" w:ascii="Times New Roman" w:hAnsi="Times New Roman" w:eastAsia="仿宋_GB2312" w:cs="Times New Roman"/>
          <w:kern w:val="2"/>
          <w:sz w:val="32"/>
          <w:szCs w:val="32"/>
          <w:lang w:val="en-US" w:eastAsia="zh-CN" w:bidi="ar-SA"/>
        </w:rPr>
        <w:t>共在数字东城网站上主动公开信息</w:t>
      </w:r>
      <w:r>
        <w:rPr>
          <w:rFonts w:hint="eastAsia" w:ascii="Times New Roman" w:hAnsi="Times New Roman" w:eastAsia="仿宋_GB2312" w:cs="Times New Roman"/>
          <w:kern w:val="2"/>
          <w:sz w:val="32"/>
          <w:szCs w:val="32"/>
          <w:lang w:val="en-US" w:eastAsia="zh-CN" w:bidi="ar-SA"/>
        </w:rPr>
        <w:t>460</w:t>
      </w:r>
      <w:r>
        <w:rPr>
          <w:rFonts w:hint="default" w:ascii="Times New Roman" w:hAnsi="Times New Roman" w:eastAsia="仿宋_GB2312" w:cs="Times New Roman"/>
          <w:kern w:val="2"/>
          <w:sz w:val="32"/>
          <w:szCs w:val="32"/>
          <w:lang w:val="en-US" w:eastAsia="zh-CN" w:bidi="ar-SA"/>
        </w:rPr>
        <w:t>条。</w:t>
      </w:r>
      <w:r>
        <w:rPr>
          <w:rFonts w:hint="eastAsia" w:ascii="Times New Roman" w:hAnsi="Times New Roman" w:eastAsia="仿宋_GB2312" w:cs="Times New Roman"/>
          <w:kern w:val="2"/>
          <w:sz w:val="32"/>
          <w:szCs w:val="32"/>
          <w:lang w:val="en-US" w:eastAsia="zh-CN" w:bidi="ar-SA"/>
        </w:rPr>
        <w:t>面向社会公开征集《东城区历史文化街区老城恢复性修建建筑企业选取和管理暂行办法（征求意见稿）》意见，广泛听取群众意见建议，并主动公开征集结果。及时准确发布各征收项目房屋征收决定及房屋征收补偿方案。</w:t>
      </w:r>
      <w:r>
        <w:rPr>
          <w:rFonts w:hint="default" w:ascii="Times New Roman" w:hAnsi="Times New Roman" w:eastAsia="仿宋_GB2312" w:cs="Times New Roman"/>
          <w:sz w:val="32"/>
          <w:szCs w:val="32"/>
          <w:lang w:val="en-US" w:eastAsia="zh-CN"/>
        </w:rPr>
        <w:t>全面公开保障性住房相关信息，</w:t>
      </w:r>
      <w:r>
        <w:rPr>
          <w:rFonts w:hint="default" w:ascii="Times New Roman" w:hAnsi="Times New Roman" w:eastAsia="仿宋_GB2312" w:cs="Times New Roman"/>
          <w:b w:val="0"/>
          <w:bCs w:val="0"/>
          <w:sz w:val="32"/>
          <w:szCs w:val="32"/>
          <w:shd w:val="clear" w:color="auto" w:fill="auto"/>
          <w:lang w:val="en-US" w:eastAsia="zh-CN"/>
        </w:rPr>
        <w:t>发布颐盛嘉园项目共有产权住房配售公告，</w:t>
      </w:r>
      <w:r>
        <w:rPr>
          <w:rFonts w:hint="eastAsia" w:ascii="Times New Roman" w:hAnsi="Times New Roman" w:eastAsia="仿宋_GB2312" w:cs="Times New Roman"/>
          <w:b w:val="0"/>
          <w:bCs w:val="0"/>
          <w:sz w:val="32"/>
          <w:szCs w:val="32"/>
          <w:shd w:val="clear" w:color="auto" w:fill="auto"/>
          <w:lang w:val="en-US" w:eastAsia="zh-CN"/>
        </w:rPr>
        <w:t>首次</w:t>
      </w:r>
      <w:r>
        <w:rPr>
          <w:rFonts w:hint="default" w:ascii="Times New Roman" w:hAnsi="Times New Roman" w:eastAsia="仿宋_GB2312" w:cs="Times New Roman"/>
          <w:b w:val="0"/>
          <w:bCs w:val="0"/>
          <w:sz w:val="32"/>
          <w:szCs w:val="32"/>
          <w:shd w:val="clear" w:color="auto" w:fill="auto"/>
          <w:lang w:val="en-US" w:eastAsia="zh-CN"/>
        </w:rPr>
        <w:t>面向符合北京市共有产权住房申购条件的东城区户籍家庭和在东城区工作的家庭开展共有产权住房配售工作。定期发布</w:t>
      </w:r>
      <w:r>
        <w:rPr>
          <w:rFonts w:hint="default" w:ascii="Times New Roman" w:hAnsi="Times New Roman" w:eastAsia="仿宋_GB2312" w:cs="Times New Roman"/>
          <w:sz w:val="32"/>
          <w:szCs w:val="32"/>
          <w:lang w:val="en-US" w:eastAsia="zh-CN"/>
        </w:rPr>
        <w:t>市场租房补贴发放、廉租补贴发放等信息。及时</w:t>
      </w:r>
      <w:r>
        <w:rPr>
          <w:rFonts w:hint="default" w:ascii="Times New Roman" w:hAnsi="Times New Roman" w:eastAsia="仿宋_GB2312" w:cs="Times New Roman"/>
          <w:color w:val="000000"/>
          <w:sz w:val="32"/>
          <w:szCs w:val="32"/>
        </w:rPr>
        <w:t>公开棚户区改造工作进展</w:t>
      </w: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eastAsia="zh-CN"/>
        </w:rPr>
        <w:t>对建设工程招投标情况进行主动公开。结合信用体系建设工作要求，</w:t>
      </w:r>
      <w:r>
        <w:rPr>
          <w:rFonts w:hint="default" w:ascii="Times New Roman" w:hAnsi="Times New Roman" w:eastAsia="仿宋_GB2312" w:cs="Times New Roman"/>
          <w:color w:val="000000"/>
          <w:sz w:val="32"/>
          <w:szCs w:val="32"/>
          <w:lang w:eastAsia="zh-CN"/>
        </w:rPr>
        <w:t>严格落实行政处罚结果、行政许可结果“双公示”制度，做好</w:t>
      </w:r>
      <w:r>
        <w:rPr>
          <w:rFonts w:hint="default" w:ascii="Times New Roman" w:hAnsi="Times New Roman" w:eastAsia="仿宋_GB2312" w:cs="Times New Roman"/>
          <w:sz w:val="32"/>
          <w:szCs w:val="32"/>
          <w:lang w:val="en-US" w:eastAsia="zh-CN"/>
        </w:rPr>
        <w:t>“双随机、一公开”检查结果公开等。</w:t>
      </w:r>
    </w:p>
    <w:p>
      <w:pPr>
        <w:pStyle w:val="3"/>
        <w:shd w:val="clear" w:color="auto" w:fill="FFFFFF"/>
        <w:spacing w:before="0" w:beforeAutospacing="0" w:after="0" w:afterAutospacing="0" w:line="560" w:lineRule="exact"/>
        <w:ind w:firstLine="640" w:firstLineChars="200"/>
        <w:jc w:val="both"/>
        <w:rPr>
          <w:rFonts w:hint="default" w:ascii="楷体_GB2312" w:hAnsi="微软雅黑" w:eastAsia="楷体_GB2312"/>
          <w:color w:val="000000"/>
          <w:sz w:val="32"/>
          <w:szCs w:val="32"/>
          <w:lang w:val="en-US" w:eastAsia="zh-CN"/>
        </w:rPr>
      </w:pPr>
      <w:r>
        <w:rPr>
          <w:rFonts w:hint="eastAsia" w:ascii="楷体_GB2312" w:hAnsi="微软雅黑" w:eastAsia="楷体_GB2312"/>
          <w:color w:val="000000"/>
          <w:sz w:val="32"/>
          <w:szCs w:val="32"/>
          <w:lang w:val="en-US" w:eastAsia="zh-CN"/>
        </w:rPr>
        <w:t>（三）</w:t>
      </w:r>
      <w:r>
        <w:rPr>
          <w:rFonts w:hint="default" w:ascii="楷体_GB2312" w:hAnsi="微软雅黑" w:eastAsia="楷体_GB2312"/>
          <w:color w:val="000000"/>
          <w:sz w:val="32"/>
          <w:szCs w:val="32"/>
          <w:lang w:val="en-US" w:eastAsia="zh-CN"/>
        </w:rPr>
        <w:t>依申请公开办理情况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72" w:firstLineChars="200"/>
        <w:jc w:val="both"/>
        <w:textAlignment w:val="auto"/>
        <w:outlineLvl w:val="9"/>
        <w:rPr>
          <w:rFonts w:hint="default" w:ascii="Times New Roman" w:hAnsi="Times New Roman" w:eastAsia="仿宋_GB2312" w:cs="Times New Roman"/>
          <w:spacing w:val="8"/>
          <w:kern w:val="0"/>
          <w:sz w:val="32"/>
          <w:szCs w:val="32"/>
          <w:lang w:val="en-US" w:eastAsia="zh-CN" w:bidi="ar-SA"/>
        </w:rPr>
      </w:pPr>
      <w:r>
        <w:rPr>
          <w:rFonts w:hint="default" w:ascii="Times New Roman" w:hAnsi="Times New Roman" w:eastAsia="仿宋_GB2312" w:cs="Times New Roman"/>
          <w:spacing w:val="8"/>
          <w:kern w:val="0"/>
          <w:sz w:val="32"/>
          <w:szCs w:val="32"/>
          <w:lang w:val="en-US" w:eastAsia="zh-CN" w:bidi="ar-SA"/>
        </w:rPr>
        <w:t>2021年</w:t>
      </w:r>
      <w:r>
        <w:rPr>
          <w:rFonts w:hint="eastAsia" w:eastAsia="仿宋_GB2312" w:cs="Times New Roman"/>
          <w:spacing w:val="8"/>
          <w:kern w:val="0"/>
          <w:sz w:val="32"/>
          <w:szCs w:val="32"/>
          <w:lang w:val="en-US" w:eastAsia="zh-CN" w:bidi="ar-SA"/>
        </w:rPr>
        <w:t>区</w:t>
      </w:r>
      <w:r>
        <w:rPr>
          <w:rFonts w:hint="default" w:ascii="Times New Roman" w:hAnsi="Times New Roman" w:eastAsia="仿宋_GB2312" w:cs="Times New Roman"/>
          <w:spacing w:val="8"/>
          <w:kern w:val="0"/>
          <w:sz w:val="32"/>
          <w:szCs w:val="32"/>
          <w:lang w:val="en-US" w:eastAsia="zh-CN" w:bidi="ar-SA"/>
        </w:rPr>
        <w:t>住建委新收政府信息公开申请数量300件，上年结转政府信息公开申请数量21件。结转的21件申请人类别为自然人，新收政府信息公开申请中，申请人的类别为商业企业的1件，申请人的类别为自然人的299件。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72" w:firstLineChars="200"/>
        <w:jc w:val="both"/>
        <w:textAlignment w:val="auto"/>
        <w:outlineLvl w:val="9"/>
        <w:rPr>
          <w:rFonts w:hint="default" w:ascii="Times New Roman" w:hAnsi="Times New Roman" w:eastAsia="仿宋_GB2312" w:cs="Times New Roman"/>
          <w:spacing w:val="8"/>
          <w:kern w:val="0"/>
          <w:sz w:val="32"/>
          <w:szCs w:val="32"/>
          <w:lang w:val="en-US" w:eastAsia="zh-CN" w:bidi="ar-SA"/>
        </w:rPr>
      </w:pPr>
      <w:r>
        <w:rPr>
          <w:rFonts w:hint="default" w:ascii="Times New Roman" w:hAnsi="Times New Roman" w:eastAsia="仿宋_GB2312" w:cs="Times New Roman"/>
          <w:spacing w:val="8"/>
          <w:kern w:val="0"/>
          <w:sz w:val="32"/>
          <w:szCs w:val="32"/>
          <w:lang w:val="en-US" w:eastAsia="zh-CN" w:bidi="ar-SA"/>
        </w:rPr>
        <w:t>285件申请均已按照《中华人民共和国政府信息公开条例》在法定时限内给予了答复，36件申请结转到下年度继续办理，并将在法定时间内予以答复。已答复的285件中：无法提供174件，不予公开6件，予以公开75件，不予处理2件，其他处理28件。</w:t>
      </w:r>
    </w:p>
    <w:p>
      <w:pPr>
        <w:pStyle w:val="3"/>
        <w:numPr>
          <w:ilvl w:val="0"/>
          <w:numId w:val="1"/>
        </w:numPr>
        <w:shd w:val="clear" w:color="auto" w:fill="FFFFFF"/>
        <w:spacing w:before="0" w:beforeAutospacing="0" w:after="0" w:afterAutospacing="0" w:line="560" w:lineRule="exact"/>
        <w:ind w:firstLine="640"/>
        <w:jc w:val="both"/>
        <w:rPr>
          <w:rFonts w:hint="eastAsia" w:ascii="楷体_GB2312" w:hAnsi="微软雅黑" w:eastAsia="楷体_GB2312"/>
          <w:color w:val="000000"/>
          <w:sz w:val="32"/>
          <w:szCs w:val="32"/>
          <w:lang w:eastAsia="zh-CN"/>
        </w:rPr>
      </w:pPr>
      <w:r>
        <w:rPr>
          <w:rFonts w:hint="eastAsia" w:ascii="楷体_GB2312" w:hAnsi="微软雅黑" w:eastAsia="楷体_GB2312"/>
          <w:color w:val="000000"/>
          <w:sz w:val="32"/>
          <w:szCs w:val="32"/>
        </w:rPr>
        <w:t>政府信息管理</w:t>
      </w:r>
      <w:r>
        <w:rPr>
          <w:rFonts w:hint="eastAsia" w:ascii="楷体_GB2312" w:hAnsi="微软雅黑" w:eastAsia="楷体_GB2312"/>
          <w:color w:val="000000"/>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2" w:firstLineChars="200"/>
        <w:textAlignment w:val="auto"/>
        <w:outlineLvl w:val="9"/>
        <w:rPr>
          <w:rFonts w:hint="eastAsia" w:ascii="Times New Roman" w:hAnsi="Times New Roman" w:eastAsia="仿宋_GB2312" w:cs="Times New Roman"/>
          <w:spacing w:val="8"/>
          <w:kern w:val="0"/>
          <w:sz w:val="32"/>
          <w:szCs w:val="32"/>
          <w:lang w:val="en-US" w:eastAsia="zh-CN" w:bidi="ar-SA"/>
        </w:rPr>
      </w:pPr>
      <w:r>
        <w:rPr>
          <w:rFonts w:hint="eastAsia" w:ascii="Times New Roman" w:hAnsi="Times New Roman" w:eastAsia="仿宋_GB2312" w:cs="Times New Roman"/>
          <w:spacing w:val="8"/>
          <w:kern w:val="0"/>
          <w:sz w:val="32"/>
          <w:szCs w:val="32"/>
          <w:lang w:val="en-US" w:eastAsia="zh-CN" w:bidi="ar-SA"/>
        </w:rPr>
        <w:t>区住建委办公室负责主动公开工作，严格按照主动公开流程，主动公开的信息做到一事一审查，先审查、后公开，对各部门申请主动公开的信息内容和《信息发布保密审查单》进行审核。区住建委法制科负责依申请公开工作，把依申请公开工作作为检验依法行政情况的重要手段。依申请公开工作作为我委为民服务的窗口之一，日常工作中，在接待、受理、审查、告知、送达等环节加强把关，严格按照依申请公开工作流程办理，确保各环节程序合法、办理规范。</w:t>
      </w:r>
    </w:p>
    <w:p>
      <w:pPr>
        <w:pStyle w:val="3"/>
        <w:shd w:val="clear" w:color="auto" w:fill="FFFFFF"/>
        <w:spacing w:before="0" w:beforeAutospacing="0" w:after="0" w:afterAutospacing="0" w:line="560" w:lineRule="exact"/>
        <w:ind w:firstLine="640" w:firstLineChars="200"/>
        <w:jc w:val="both"/>
        <w:rPr>
          <w:rFonts w:hint="eastAsia" w:ascii="楷体_GB2312" w:hAnsi="微软雅黑" w:eastAsia="楷体_GB2312"/>
          <w:color w:val="000000"/>
          <w:sz w:val="32"/>
          <w:szCs w:val="32"/>
          <w:lang w:val="en-US" w:eastAsia="zh-CN"/>
        </w:rPr>
      </w:pPr>
      <w:r>
        <w:rPr>
          <w:rFonts w:hint="eastAsia" w:ascii="楷体_GB2312" w:hAnsi="微软雅黑" w:eastAsia="楷体_GB2312"/>
          <w:color w:val="000000"/>
          <w:sz w:val="32"/>
          <w:szCs w:val="32"/>
          <w:lang w:val="en-US" w:eastAsia="zh-CN"/>
        </w:rPr>
        <w:t>（五）政府信息公开平台建设</w:t>
      </w:r>
    </w:p>
    <w:p>
      <w:pPr>
        <w:pStyle w:val="2"/>
        <w:keepNext w:val="0"/>
        <w:keepLines w:val="0"/>
        <w:pageBreakBefore w:val="0"/>
        <w:kinsoku/>
        <w:wordWrap/>
        <w:overflowPunct/>
        <w:topLinePunct w:val="0"/>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为更好地提升工作效率，</w:t>
      </w:r>
      <w:r>
        <w:rPr>
          <w:rFonts w:hint="eastAsia" w:ascii="仿宋_GB2312" w:eastAsia="仿宋_GB2312"/>
          <w:sz w:val="32"/>
          <w:szCs w:val="32"/>
          <w:lang w:eastAsia="zh-CN"/>
        </w:rPr>
        <w:t>服务社会群众</w:t>
      </w:r>
      <w:r>
        <w:rPr>
          <w:rFonts w:hint="eastAsia" w:ascii="仿宋_GB2312" w:eastAsia="仿宋_GB2312"/>
          <w:sz w:val="32"/>
          <w:szCs w:val="32"/>
        </w:rPr>
        <w:t>参与</w:t>
      </w:r>
      <w:r>
        <w:rPr>
          <w:rFonts w:hint="eastAsia" w:ascii="仿宋_GB2312" w:eastAsia="仿宋_GB2312"/>
          <w:sz w:val="32"/>
          <w:szCs w:val="32"/>
          <w:lang w:eastAsia="zh-CN"/>
        </w:rPr>
        <w:t>东城区</w:t>
      </w:r>
      <w:r>
        <w:rPr>
          <w:rFonts w:hint="eastAsia" w:ascii="仿宋_GB2312" w:eastAsia="仿宋_GB2312"/>
          <w:sz w:val="32"/>
          <w:szCs w:val="32"/>
        </w:rPr>
        <w:t>城市建设的需求</w:t>
      </w:r>
      <w:r>
        <w:rPr>
          <w:rFonts w:hint="eastAsia" w:ascii="Times New Roman" w:hAnsi="Times New Roman" w:eastAsia="仿宋_GB2312" w:cs="Times New Roman"/>
          <w:sz w:val="32"/>
          <w:szCs w:val="32"/>
          <w:lang w:eastAsia="zh-CN"/>
        </w:rPr>
        <w:t>，</w:t>
      </w:r>
      <w:r>
        <w:rPr>
          <w:rFonts w:hint="eastAsia" w:ascii="仿宋_GB2312" w:eastAsia="仿宋_GB2312"/>
          <w:sz w:val="32"/>
          <w:szCs w:val="32"/>
        </w:rPr>
        <w:t>为群众提供更多的</w:t>
      </w:r>
      <w:r>
        <w:rPr>
          <w:rFonts w:hint="eastAsia" w:ascii="仿宋_GB2312" w:eastAsia="仿宋_GB2312"/>
          <w:sz w:val="32"/>
          <w:szCs w:val="32"/>
          <w:lang w:eastAsia="zh-CN"/>
        </w:rPr>
        <w:t>东城区域政务服务</w:t>
      </w:r>
      <w:r>
        <w:rPr>
          <w:rFonts w:hint="eastAsia" w:ascii="仿宋_GB2312" w:eastAsia="仿宋_GB2312"/>
          <w:sz w:val="32"/>
          <w:szCs w:val="32"/>
        </w:rPr>
        <w:t>政策信息</w:t>
      </w:r>
      <w:r>
        <w:rPr>
          <w:rFonts w:hint="eastAsia" w:ascii="仿宋_GB2312" w:eastAsia="仿宋_GB2312"/>
          <w:sz w:val="32"/>
          <w:szCs w:val="32"/>
          <w:lang w:eastAsia="zh-CN"/>
        </w:rPr>
        <w:t>，我委于</w:t>
      </w:r>
      <w:r>
        <w:rPr>
          <w:rFonts w:hint="eastAsia" w:ascii="仿宋_GB2312" w:eastAsia="仿宋_GB2312"/>
          <w:sz w:val="32"/>
          <w:szCs w:val="32"/>
          <w:lang w:val="en-US" w:eastAsia="zh-CN"/>
        </w:rPr>
        <w:t>2021年进一步</w:t>
      </w:r>
      <w:r>
        <w:rPr>
          <w:rFonts w:hint="eastAsia" w:ascii="Times New Roman" w:hAnsi="Times New Roman" w:eastAsia="仿宋_GB2312" w:cs="Times New Roman"/>
          <w:sz w:val="32"/>
          <w:szCs w:val="32"/>
          <w:lang w:val="en-US" w:eastAsia="zh-CN"/>
        </w:rPr>
        <w:t>优化运营“东城住建”微信公众号，</w:t>
      </w:r>
      <w:r>
        <w:rPr>
          <w:rFonts w:hint="default" w:ascii="Times New Roman" w:hAnsi="Times New Roman" w:eastAsia="仿宋_GB2312" w:cs="Times New Roman"/>
          <w:sz w:val="32"/>
          <w:szCs w:val="32"/>
          <w:lang w:val="en-US" w:eastAsia="zh-CN"/>
        </w:rPr>
        <w:t>制定了《北京市东城区住房和城市建设委员会微信公众号运行方案》</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北京市东城区住房和城市建设委员会</w:t>
      </w:r>
      <w:r>
        <w:rPr>
          <w:rFonts w:hint="eastAsia" w:ascii="Times New Roman" w:hAnsi="Times New Roman" w:eastAsia="仿宋_GB2312" w:cs="Times New Roman"/>
          <w:sz w:val="32"/>
          <w:szCs w:val="32"/>
          <w:lang w:val="en-US" w:eastAsia="zh-CN"/>
        </w:rPr>
        <w:t>微信审核发布程序及应急程序》</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严格按照相关要求，向</w:t>
      </w:r>
      <w:r>
        <w:rPr>
          <w:rFonts w:hint="default" w:ascii="Times New Roman" w:hAnsi="Times New Roman" w:eastAsia="仿宋_GB2312" w:cs="Times New Roman"/>
          <w:sz w:val="32"/>
          <w:szCs w:val="32"/>
          <w:lang w:val="en-US" w:eastAsia="zh-CN"/>
        </w:rPr>
        <w:t>社会公众发布政务信息，</w:t>
      </w:r>
      <w:r>
        <w:rPr>
          <w:rFonts w:hint="default" w:ascii="Times New Roman" w:hAnsi="Times New Roman" w:eastAsia="仿宋_GB2312" w:cs="Times New Roman"/>
          <w:sz w:val="32"/>
          <w:szCs w:val="32"/>
        </w:rPr>
        <w:t>增强我委政务公开的透明度</w:t>
      </w:r>
      <w:r>
        <w:rPr>
          <w:rFonts w:hint="default" w:ascii="Times New Roman" w:hAnsi="Times New Roman" w:eastAsia="仿宋_GB2312" w:cs="Times New Roman"/>
          <w:sz w:val="32"/>
          <w:szCs w:val="32"/>
          <w:lang w:val="en-US" w:eastAsia="zh-CN"/>
        </w:rPr>
        <w:t>。</w:t>
      </w:r>
    </w:p>
    <w:p>
      <w:pPr>
        <w:pStyle w:val="3"/>
        <w:numPr>
          <w:ilvl w:val="0"/>
          <w:numId w:val="2"/>
        </w:numPr>
        <w:shd w:val="clear" w:color="auto" w:fill="FFFFFF"/>
        <w:spacing w:before="0" w:beforeAutospacing="0" w:after="0" w:afterAutospacing="0" w:line="560" w:lineRule="exact"/>
        <w:ind w:firstLine="640"/>
        <w:jc w:val="both"/>
        <w:rPr>
          <w:rFonts w:hint="eastAsia" w:ascii="楷体_GB2312" w:hAnsi="微软雅黑" w:eastAsia="楷体_GB2312"/>
          <w:color w:val="000000"/>
          <w:sz w:val="32"/>
          <w:szCs w:val="32"/>
        </w:rPr>
      </w:pPr>
      <w:r>
        <w:rPr>
          <w:rFonts w:hint="eastAsia" w:ascii="楷体_GB2312" w:hAnsi="微软雅黑" w:eastAsia="楷体_GB2312"/>
          <w:color w:val="000000"/>
          <w:sz w:val="32"/>
          <w:szCs w:val="32"/>
        </w:rPr>
        <w:t>政府信息公开监督保障及教育培训情况</w:t>
      </w:r>
    </w:p>
    <w:p>
      <w:pPr>
        <w:pStyle w:val="3"/>
        <w:numPr>
          <w:ilvl w:val="0"/>
          <w:numId w:val="0"/>
        </w:numPr>
        <w:shd w:val="clear" w:color="auto" w:fill="FFFFFF"/>
        <w:spacing w:before="0" w:beforeAutospacing="0" w:after="0" w:afterAutospacing="0" w:line="560" w:lineRule="exact"/>
        <w:ind w:right="0" w:rightChars="0" w:firstLine="640"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根据《政府信息公开条例》要求，组织各科室对本部门涉及的公开事项进行认真梳理，完善主动公开全清单，方便受众查询。</w:t>
      </w:r>
    </w:p>
    <w:p>
      <w:pPr>
        <w:numPr>
          <w:ilvl w:val="0"/>
          <w:numId w:val="3"/>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现行有效件</w:t>
            </w:r>
            <w:r>
              <w:rPr>
                <w:rFonts w:hint="eastAsia" w:ascii="宋体" w:hAnsi="宋体" w:eastAsia="宋体" w:cs="宋体"/>
                <w:kern w:val="0"/>
                <w:sz w:val="20"/>
                <w:szCs w:val="20"/>
                <w:lang w:val="en-US" w:eastAsia="zh-CN"/>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　　</w:t>
            </w:r>
            <w:r>
              <w:rPr>
                <w:rFonts w:hint="eastAsia" w:ascii="宋体" w:hAnsi="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 　</w:t>
            </w:r>
            <w:r>
              <w:rPr>
                <w:rFonts w:hint="eastAsia" w:ascii="宋体" w:hAnsi="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Calibri" w:hAnsi="Calibri" w:cs="Calibri"/>
                <w:kern w:val="0"/>
                <w:sz w:val="21"/>
                <w:szCs w:val="21"/>
                <w:lang w:val="en-US" w:eastAsia="zh-CN"/>
              </w:rPr>
              <w:t> </w:t>
            </w:r>
            <w:r>
              <w:rPr>
                <w:rFonts w:hint="eastAsia" w:ascii="Calibri" w:hAnsi="Calibri" w:cs="Calibri"/>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　　</w:t>
            </w:r>
            <w:r>
              <w:rPr>
                <w:rFonts w:hint="eastAsia" w:ascii="宋体" w:hAnsi="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 　</w:t>
            </w:r>
            <w:r>
              <w:rPr>
                <w:rFonts w:hint="eastAsia" w:ascii="宋体" w:hAnsi="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cs="Calibri"/>
                <w:kern w:val="0"/>
                <w:sz w:val="21"/>
                <w:szCs w:val="21"/>
                <w:lang w:val="en-US" w:eastAsia="zh-CN"/>
              </w:rPr>
              <w:t> </w:t>
            </w:r>
            <w:r>
              <w:rPr>
                <w:rFonts w:hint="eastAsia" w:ascii="Calibri" w:hAnsi="Calibri" w:cs="Calibri"/>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eastAsia="宋体"/>
                <w:lang w:val="en-US" w:eastAsia="zh-CN"/>
              </w:rPr>
            </w:pPr>
            <w:r>
              <w:rPr>
                <w:rFonts w:hint="eastAsia" w:ascii="宋体" w:hAnsi="宋体" w:eastAsia="宋体" w:cs="宋体"/>
                <w:color w:val="000000"/>
                <w:kern w:val="0"/>
                <w:sz w:val="20"/>
                <w:szCs w:val="20"/>
                <w:lang w:val="en-US" w:eastAsia="zh-CN"/>
              </w:rPr>
              <w:t>　</w:t>
            </w:r>
            <w:bookmarkStart w:id="0" w:name="_GoBack"/>
            <w:bookmarkEnd w:id="0"/>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　</w:t>
            </w:r>
            <w:r>
              <w:rPr>
                <w:rFonts w:hint="eastAsia" w:ascii="宋体" w:hAnsi="宋体" w:cs="宋体"/>
                <w:color w:val="000000"/>
                <w:kern w:val="0"/>
                <w:sz w:val="20"/>
                <w:szCs w:val="20"/>
                <w:lang w:val="en-US" w:eastAsia="zh-CN"/>
              </w:rPr>
              <w:t>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　</w:t>
            </w:r>
            <w:r>
              <w:rPr>
                <w:rFonts w:hint="eastAsia" w:ascii="宋体" w:hAnsi="宋体" w:cs="宋体"/>
                <w:color w:val="000000"/>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numPr>
          <w:ilvl w:val="0"/>
          <w:numId w:val="3"/>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商业</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科研</w:t>
            </w:r>
          </w:p>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299 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300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21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21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rPr>
            </w:pPr>
            <w:r>
              <w:rPr>
                <w:rFonts w:hint="eastAsia" w:ascii="Calibri" w:hAnsi="Calibri" w:cs="Calibri"/>
                <w:kern w:val="0"/>
                <w:sz w:val="20"/>
                <w:szCs w:val="20"/>
                <w:lang w:val="en-US" w:eastAsia="zh-CN"/>
              </w:rPr>
              <w:t>75</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75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（二）部分公开</w:t>
            </w:r>
            <w:r>
              <w:rPr>
                <w:rFonts w:hint="default" w:ascii="楷体" w:hAnsi="楷体" w:eastAsia="楷体" w:cs="楷体"/>
                <w:kern w:val="0"/>
                <w:sz w:val="20"/>
                <w:szCs w:val="20"/>
                <w:lang w:val="en-US" w:eastAsia="zh-CN"/>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1.属于国家秘密</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2</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3.危及“三安全一稳定”</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3</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3</w:t>
            </w:r>
            <w:r>
              <w:rPr>
                <w:rFonts w:hint="default" w:ascii="Calibri" w:hAnsi="Calibri" w:cs="Calibri"/>
                <w:kern w:val="0"/>
                <w:sz w:val="20"/>
                <w:szCs w:val="20"/>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7.属于行政执法案卷</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8.属于行政查询事项</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171</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171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3</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2.重复申请</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2</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outset"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outset"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27</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1</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28</w:t>
            </w:r>
            <w:r>
              <w:rPr>
                <w:rFonts w:hint="default" w:ascii="Calibri" w:hAnsi="Calibri" w:cs="Calibri"/>
                <w:kern w:val="0"/>
                <w:sz w:val="20"/>
                <w:szCs w:val="20"/>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284</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1</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285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四、结转下年度继续办理</w:t>
            </w:r>
          </w:p>
        </w:tc>
        <w:tc>
          <w:tcPr>
            <w:tcW w:w="688" w:type="dxa"/>
            <w:tcBorders>
              <w:top w:val="outset" w:color="auto" w:sz="6" w:space="0"/>
              <w:left w:val="nil"/>
              <w:bottom w:val="outset" w:color="auto" w:sz="6" w:space="0"/>
              <w:right w:val="outset" w:color="auto" w:sz="6" w:space="0"/>
            </w:tcBorders>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36</w:t>
            </w:r>
          </w:p>
        </w:tc>
        <w:tc>
          <w:tcPr>
            <w:tcW w:w="688" w:type="dxa"/>
            <w:tcBorders>
              <w:top w:val="outset" w:color="auto" w:sz="6" w:space="0"/>
              <w:left w:val="nil"/>
              <w:bottom w:val="outset" w:color="auto" w:sz="6" w:space="0"/>
              <w:right w:val="outset" w:color="auto" w:sz="6" w:space="0"/>
            </w:tcBorders>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p>
        </w:tc>
        <w:tc>
          <w:tcPr>
            <w:tcW w:w="688" w:type="dxa"/>
            <w:tcBorders>
              <w:top w:val="outset" w:color="auto" w:sz="6" w:space="0"/>
              <w:left w:val="nil"/>
              <w:bottom w:val="outset" w:color="auto" w:sz="6" w:space="0"/>
              <w:right w:val="outset" w:color="auto" w:sz="6" w:space="0"/>
            </w:tcBorders>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p>
        </w:tc>
        <w:tc>
          <w:tcPr>
            <w:tcW w:w="688" w:type="dxa"/>
            <w:tcBorders>
              <w:top w:val="outset" w:color="auto" w:sz="6" w:space="0"/>
              <w:left w:val="nil"/>
              <w:bottom w:val="outset" w:color="auto" w:sz="6" w:space="0"/>
              <w:right w:val="outset" w:color="auto" w:sz="6" w:space="0"/>
            </w:tcBorders>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p>
        </w:tc>
        <w:tc>
          <w:tcPr>
            <w:tcW w:w="688" w:type="dxa"/>
            <w:tcBorders>
              <w:top w:val="outset" w:color="auto" w:sz="6" w:space="0"/>
              <w:left w:val="nil"/>
              <w:bottom w:val="outset" w:color="auto" w:sz="6" w:space="0"/>
              <w:right w:val="outset" w:color="auto" w:sz="6" w:space="0"/>
            </w:tcBorders>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p>
        </w:tc>
        <w:tc>
          <w:tcPr>
            <w:tcW w:w="688" w:type="dxa"/>
            <w:tcBorders>
              <w:top w:val="outset" w:color="auto" w:sz="6" w:space="0"/>
              <w:left w:val="nil"/>
              <w:bottom w:val="outset" w:color="auto" w:sz="6" w:space="0"/>
              <w:right w:val="outset" w:color="auto" w:sz="6" w:space="0"/>
            </w:tcBorders>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0</w:t>
            </w:r>
          </w:p>
        </w:tc>
        <w:tc>
          <w:tcPr>
            <w:tcW w:w="689" w:type="dxa"/>
            <w:tcBorders>
              <w:top w:val="outset" w:color="auto" w:sz="6" w:space="0"/>
              <w:left w:val="nil"/>
              <w:bottom w:val="outset" w:color="auto" w:sz="6" w:space="0"/>
              <w:right w:val="outset" w:color="auto" w:sz="6" w:space="0"/>
            </w:tcBorders>
            <w:vAlign w:val="center"/>
          </w:tcPr>
          <w:p>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rPr>
            </w:pPr>
            <w:r>
              <w:rPr>
                <w:rFonts w:hint="eastAsia" w:ascii="Calibri" w:hAnsi="Calibri" w:cs="Calibri"/>
                <w:kern w:val="0"/>
                <w:sz w:val="20"/>
                <w:szCs w:val="20"/>
                <w:lang w:val="en-US" w:eastAsia="zh-CN"/>
              </w:rPr>
              <w:t>36</w:t>
            </w:r>
          </w:p>
        </w:tc>
      </w:tr>
    </w:tbl>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rPr>
              <w:t>其他</w:t>
            </w:r>
            <w:r>
              <w:rPr>
                <w:rFonts w:hint="eastAsia" w:ascii="宋体" w:hAnsi="宋体" w:cs="宋体"/>
                <w:kern w:val="0"/>
                <w:sz w:val="20"/>
                <w:szCs w:val="20"/>
              </w:rPr>
              <w:br w:type="textWrapping"/>
            </w:r>
            <w:r>
              <w:rPr>
                <w:rFonts w:hint="eastAsia" w:ascii="宋体" w:hAnsi="宋体" w:cs="宋体"/>
                <w:kern w:val="0"/>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rPr>
              <w:t>其他</w:t>
            </w:r>
            <w:r>
              <w:rPr>
                <w:rFonts w:hint="eastAsia" w:ascii="宋体" w:hAnsi="宋体" w:cs="宋体"/>
                <w:kern w:val="0"/>
                <w:sz w:val="20"/>
                <w:szCs w:val="20"/>
              </w:rPr>
              <w:br w:type="textWrapping"/>
            </w:r>
            <w:r>
              <w:rPr>
                <w:rFonts w:hint="eastAsia" w:ascii="宋体" w:hAnsi="宋体" w:cs="宋体"/>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rPr>
              <w:t>其他</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黑体" w:hAnsi="宋体" w:eastAsia="黑体" w:cs="黑体"/>
                <w:kern w:val="0"/>
                <w:sz w:val="20"/>
                <w:szCs w:val="20"/>
              </w:rPr>
            </w:pPr>
            <w:r>
              <w:rPr>
                <w:rFonts w:ascii="黑体" w:hAnsi="宋体" w:eastAsia="黑体" w:cs="黑体"/>
                <w:kern w:val="0"/>
                <w:sz w:val="20"/>
                <w:szCs w:val="20"/>
              </w:rPr>
              <w:t> 9</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黑体" w:hAnsi="宋体" w:eastAsia="黑体" w:cs="黑体"/>
                <w:kern w:val="0"/>
                <w:sz w:val="20"/>
                <w:szCs w:val="20"/>
              </w:rPr>
            </w:pPr>
            <w:r>
              <w:rPr>
                <w:rFonts w:ascii="黑体" w:hAnsi="宋体" w:eastAsia="黑体" w:cs="黑体"/>
                <w:kern w:val="0"/>
                <w:sz w:val="20"/>
                <w:szCs w:val="20"/>
              </w:rPr>
              <w:t> 4</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黑体" w:hAnsi="宋体" w:eastAsia="黑体" w:cs="黑体"/>
                <w:kern w:val="0"/>
                <w:sz w:val="20"/>
                <w:szCs w:val="20"/>
              </w:rPr>
            </w:pPr>
            <w:r>
              <w:rPr>
                <w:rFonts w:ascii="黑体" w:hAnsi="宋体" w:eastAsia="黑体" w:cs="黑体"/>
                <w:kern w:val="0"/>
                <w:sz w:val="20"/>
                <w:szCs w:val="20"/>
              </w:rPr>
              <w:t> 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黑体" w:hAnsi="宋体" w:eastAsia="黑体" w:cs="黑体"/>
                <w:kern w:val="0"/>
                <w:sz w:val="20"/>
                <w:szCs w:val="20"/>
              </w:rPr>
            </w:pPr>
            <w:r>
              <w:rPr>
                <w:rFonts w:ascii="黑体" w:hAnsi="宋体" w:eastAsia="黑体" w:cs="黑体"/>
                <w:kern w:val="0"/>
                <w:sz w:val="20"/>
                <w:szCs w:val="20"/>
              </w:rPr>
              <w:t> 20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黑体" w:hAnsi="宋体" w:eastAsia="黑体" w:cs="黑体"/>
                <w:kern w:val="0"/>
                <w:sz w:val="20"/>
                <w:szCs w:val="20"/>
              </w:rPr>
            </w:pPr>
            <w:r>
              <w:rPr>
                <w:rFonts w:ascii="黑体" w:hAnsi="宋体" w:eastAsia="黑体" w:cs="黑体"/>
                <w:kern w:val="0"/>
                <w:sz w:val="20"/>
                <w:szCs w:val="20"/>
              </w:rPr>
              <w:t>33 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黑体" w:hAnsi="宋体" w:eastAsia="黑体" w:cs="黑体"/>
                <w:kern w:val="0"/>
                <w:sz w:val="20"/>
                <w:szCs w:val="20"/>
              </w:rPr>
            </w:pPr>
            <w:r>
              <w:rPr>
                <w:rFonts w:ascii="黑体" w:hAnsi="宋体" w:eastAsia="黑体" w:cs="黑体"/>
                <w:kern w:val="0"/>
                <w:sz w:val="20"/>
                <w:szCs w:val="20"/>
              </w:rPr>
              <w:t> 13</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黑体" w:hAnsi="宋体" w:eastAsia="黑体" w:cs="黑体"/>
                <w:kern w:val="0"/>
                <w:sz w:val="20"/>
                <w:szCs w:val="20"/>
              </w:rPr>
            </w:pPr>
            <w:r>
              <w:rPr>
                <w:rFonts w:hint="eastAsia" w:ascii="黑体" w:hAnsi="宋体" w:eastAsia="黑体" w:cs="黑体"/>
                <w:kern w:val="0"/>
                <w:sz w:val="20"/>
                <w:szCs w:val="20"/>
                <w:lang w:val="en-US" w:eastAsia="zh-CN"/>
              </w:rPr>
              <w:t>0</w:t>
            </w:r>
            <w:r>
              <w:rPr>
                <w:rFonts w:ascii="黑体" w:hAnsi="宋体" w:eastAsia="黑体" w:cs="黑体"/>
                <w:kern w:val="0"/>
                <w:sz w:val="20"/>
                <w:szCs w:val="20"/>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黑体" w:hAnsi="宋体" w:eastAsia="黑体" w:cs="黑体"/>
                <w:kern w:val="0"/>
                <w:sz w:val="20"/>
                <w:szCs w:val="20"/>
              </w:rPr>
            </w:pPr>
            <w:r>
              <w:rPr>
                <w:rFonts w:ascii="黑体" w:hAnsi="宋体" w:eastAsia="黑体" w:cs="黑体"/>
                <w:kern w:val="0"/>
                <w:sz w:val="20"/>
                <w:szCs w:val="20"/>
              </w:rPr>
              <w:t> </w:t>
            </w:r>
            <w:r>
              <w:rPr>
                <w:rFonts w:hint="eastAsia" w:ascii="黑体" w:hAnsi="宋体" w:eastAsia="黑体" w:cs="黑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黑体" w:hAnsi="宋体" w:eastAsia="黑体" w:cs="黑体"/>
                <w:kern w:val="0"/>
                <w:sz w:val="20"/>
                <w:szCs w:val="20"/>
              </w:rPr>
            </w:pPr>
            <w:r>
              <w:rPr>
                <w:rFonts w:ascii="黑体" w:hAnsi="宋体" w:eastAsia="黑体" w:cs="黑体"/>
                <w:kern w:val="0"/>
                <w:sz w:val="20"/>
                <w:szCs w:val="20"/>
              </w:rPr>
              <w:t> 3</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黑体" w:hAnsi="宋体" w:eastAsia="黑体" w:cs="黑体"/>
                <w:kern w:val="0"/>
                <w:sz w:val="20"/>
                <w:szCs w:val="20"/>
              </w:rPr>
            </w:pPr>
            <w:r>
              <w:rPr>
                <w:rFonts w:ascii="黑体" w:hAnsi="宋体" w:eastAsia="黑体" w:cs="黑体"/>
                <w:kern w:val="0"/>
                <w:sz w:val="20"/>
                <w:szCs w:val="20"/>
              </w:rPr>
              <w:t>16 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黑体" w:hAnsi="宋体" w:eastAsia="黑体" w:cs="黑体"/>
                <w:kern w:val="0"/>
                <w:sz w:val="20"/>
                <w:szCs w:val="20"/>
              </w:rPr>
            </w:pPr>
            <w:r>
              <w:rPr>
                <w:rFonts w:ascii="黑体" w:hAnsi="宋体" w:eastAsia="黑体" w:cs="黑体"/>
                <w:kern w:val="0"/>
                <w:sz w:val="20"/>
                <w:szCs w:val="20"/>
              </w:rPr>
              <w:t> 2</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黑体" w:hAnsi="宋体" w:eastAsia="黑体" w:cs="黑体"/>
                <w:kern w:val="0"/>
                <w:sz w:val="20"/>
                <w:szCs w:val="20"/>
              </w:rPr>
            </w:pPr>
            <w:r>
              <w:rPr>
                <w:rFonts w:ascii="黑体" w:hAnsi="宋体" w:eastAsia="黑体" w:cs="黑体"/>
                <w:kern w:val="0"/>
                <w:sz w:val="20"/>
                <w:szCs w:val="20"/>
              </w:rPr>
              <w:t> </w:t>
            </w:r>
            <w:r>
              <w:rPr>
                <w:rFonts w:hint="eastAsia" w:ascii="黑体" w:hAnsi="宋体" w:eastAsia="黑体" w:cs="黑体"/>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黑体" w:hAnsi="宋体" w:eastAsia="黑体" w:cs="黑体"/>
                <w:kern w:val="0"/>
                <w:sz w:val="20"/>
                <w:szCs w:val="20"/>
              </w:rPr>
            </w:pPr>
            <w:r>
              <w:rPr>
                <w:rFonts w:ascii="黑体" w:hAnsi="宋体" w:eastAsia="黑体" w:cs="黑体"/>
                <w:kern w:val="0"/>
                <w:sz w:val="20"/>
                <w:szCs w:val="20"/>
              </w:rPr>
              <w:t> </w:t>
            </w:r>
            <w:r>
              <w:rPr>
                <w:rFonts w:hint="eastAsia" w:ascii="黑体" w:hAnsi="宋体" w:eastAsia="黑体" w:cs="黑体"/>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黑体" w:hAnsi="宋体" w:eastAsia="黑体" w:cs="黑体"/>
                <w:kern w:val="0"/>
                <w:sz w:val="20"/>
                <w:szCs w:val="20"/>
              </w:rPr>
            </w:pPr>
            <w:r>
              <w:rPr>
                <w:rFonts w:ascii="黑体" w:hAnsi="宋体" w:eastAsia="黑体" w:cs="黑体"/>
                <w:kern w:val="0"/>
                <w:sz w:val="20"/>
                <w:szCs w:val="20"/>
              </w:rPr>
              <w:t> </w:t>
            </w:r>
            <w:r>
              <w:rPr>
                <w:rFonts w:hint="eastAsia" w:ascii="黑体" w:hAnsi="宋体" w:eastAsia="黑体" w:cs="黑体"/>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黑体" w:hAnsi="宋体" w:eastAsia="黑体" w:cs="黑体"/>
                <w:kern w:val="0"/>
                <w:sz w:val="20"/>
                <w:szCs w:val="20"/>
              </w:rPr>
            </w:pPr>
            <w:r>
              <w:rPr>
                <w:rFonts w:hint="eastAsia" w:ascii="黑体" w:hAnsi="宋体" w:eastAsia="黑体" w:cs="黑体"/>
                <w:kern w:val="0"/>
                <w:sz w:val="20"/>
                <w:szCs w:val="20"/>
              </w:rPr>
              <w:t>2</w:t>
            </w:r>
          </w:p>
        </w:tc>
      </w:tr>
    </w:tbl>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5"/>
        <w:jc w:val="left"/>
        <w:rPr>
          <w:rFonts w:hint="default" w:ascii="Times New Roman" w:hAnsi="Times New Roman" w:eastAsia="仿宋_GB2312" w:cs="Times New Roman"/>
          <w:spacing w:val="8"/>
          <w:kern w:val="0"/>
          <w:sz w:val="32"/>
          <w:szCs w:val="32"/>
          <w:lang w:eastAsia="zh-CN"/>
        </w:rPr>
      </w:pPr>
      <w:r>
        <w:rPr>
          <w:rFonts w:hint="default" w:ascii="Times New Roman" w:hAnsi="Times New Roman" w:eastAsia="仿宋_GB2312" w:cs="Times New Roman"/>
          <w:spacing w:val="8"/>
          <w:kern w:val="0"/>
          <w:sz w:val="32"/>
          <w:szCs w:val="32"/>
          <w:lang w:eastAsia="zh-CN"/>
        </w:rPr>
        <w:t>工作中，我委的信息公开意识需要进一步增强，对政府信息公开工作主动性、创造性</w:t>
      </w:r>
      <w:r>
        <w:rPr>
          <w:rFonts w:hint="eastAsia" w:eastAsia="仿宋_GB2312" w:cs="Times New Roman"/>
          <w:spacing w:val="8"/>
          <w:kern w:val="0"/>
          <w:sz w:val="32"/>
          <w:szCs w:val="32"/>
          <w:lang w:eastAsia="zh-CN"/>
        </w:rPr>
        <w:t>一级</w:t>
      </w:r>
      <w:r>
        <w:rPr>
          <w:rFonts w:hint="default" w:ascii="Times New Roman" w:hAnsi="Times New Roman" w:eastAsia="仿宋_GB2312" w:cs="Times New Roman"/>
          <w:spacing w:val="8"/>
          <w:kern w:val="0"/>
          <w:sz w:val="32"/>
          <w:szCs w:val="32"/>
        </w:rPr>
        <w:t>政府信息</w:t>
      </w:r>
      <w:r>
        <w:rPr>
          <w:rFonts w:hint="default" w:ascii="Times New Roman" w:hAnsi="Times New Roman" w:eastAsia="仿宋_GB2312" w:cs="Times New Roman"/>
          <w:spacing w:val="8"/>
          <w:kern w:val="0"/>
          <w:sz w:val="32"/>
          <w:szCs w:val="32"/>
          <w:lang w:eastAsia="zh-CN"/>
        </w:rPr>
        <w:t>公开</w:t>
      </w:r>
      <w:r>
        <w:rPr>
          <w:rFonts w:hint="default" w:ascii="Times New Roman" w:hAnsi="Times New Roman" w:eastAsia="仿宋_GB2312" w:cs="Times New Roman"/>
          <w:spacing w:val="8"/>
          <w:kern w:val="0"/>
          <w:sz w:val="32"/>
          <w:szCs w:val="32"/>
        </w:rPr>
        <w:t>的标准</w:t>
      </w:r>
      <w:r>
        <w:rPr>
          <w:rFonts w:hint="default" w:ascii="Times New Roman" w:hAnsi="Times New Roman" w:eastAsia="仿宋_GB2312" w:cs="Times New Roman"/>
          <w:spacing w:val="8"/>
          <w:kern w:val="0"/>
          <w:sz w:val="32"/>
          <w:szCs w:val="32"/>
          <w:lang w:eastAsia="zh-CN"/>
        </w:rPr>
        <w:t>化工作</w:t>
      </w:r>
      <w:r>
        <w:rPr>
          <w:rFonts w:hint="eastAsia" w:eastAsia="仿宋_GB2312" w:cs="Times New Roman"/>
          <w:spacing w:val="8"/>
          <w:kern w:val="0"/>
          <w:sz w:val="32"/>
          <w:szCs w:val="32"/>
          <w:lang w:eastAsia="zh-CN"/>
        </w:rPr>
        <w:t>还</w:t>
      </w:r>
      <w:r>
        <w:rPr>
          <w:rFonts w:hint="default" w:ascii="Times New Roman" w:hAnsi="Times New Roman" w:eastAsia="仿宋_GB2312" w:cs="Times New Roman"/>
          <w:spacing w:val="8"/>
          <w:kern w:val="0"/>
          <w:sz w:val="32"/>
          <w:szCs w:val="32"/>
        </w:rPr>
        <w:t>有待提升</w:t>
      </w:r>
      <w:r>
        <w:rPr>
          <w:rFonts w:hint="default" w:ascii="Times New Roman" w:hAnsi="Times New Roman" w:eastAsia="仿宋_GB2312" w:cs="Times New Roman"/>
          <w:spacing w:val="8"/>
          <w:kern w:val="0"/>
          <w:sz w:val="32"/>
          <w:szCs w:val="32"/>
          <w:lang w:eastAsia="zh-CN"/>
        </w:rPr>
        <w:t>，</w:t>
      </w:r>
      <w:r>
        <w:rPr>
          <w:rFonts w:hint="eastAsia" w:eastAsia="仿宋_GB2312" w:cs="Times New Roman"/>
          <w:spacing w:val="8"/>
          <w:kern w:val="0"/>
          <w:sz w:val="32"/>
          <w:szCs w:val="32"/>
          <w:lang w:eastAsia="zh-CN"/>
        </w:rPr>
        <w:t>还</w:t>
      </w:r>
      <w:r>
        <w:rPr>
          <w:rFonts w:hint="default" w:ascii="Times New Roman" w:hAnsi="Times New Roman" w:eastAsia="仿宋_GB2312" w:cs="Times New Roman"/>
          <w:spacing w:val="8"/>
          <w:kern w:val="0"/>
          <w:sz w:val="32"/>
          <w:szCs w:val="32"/>
          <w:lang w:eastAsia="zh-CN"/>
        </w:rPr>
        <w:t>存在部分信息公开不完善等问题。</w:t>
      </w:r>
    </w:p>
    <w:p>
      <w:pPr>
        <w:widowControl/>
        <w:spacing w:line="560" w:lineRule="exact"/>
        <w:ind w:firstLine="675"/>
        <w:jc w:val="left"/>
        <w:rPr>
          <w:rFonts w:hint="default" w:ascii="Times New Roman" w:hAnsi="Times New Roman" w:eastAsia="仿宋_GB2312" w:cs="Times New Roman"/>
          <w:spacing w:val="8"/>
          <w:kern w:val="0"/>
          <w:sz w:val="32"/>
          <w:szCs w:val="32"/>
          <w:lang w:eastAsia="zh-CN"/>
        </w:rPr>
      </w:pPr>
      <w:r>
        <w:rPr>
          <w:rFonts w:hint="default" w:ascii="Times New Roman" w:hAnsi="Times New Roman" w:eastAsia="仿宋_GB2312" w:cs="Times New Roman"/>
          <w:spacing w:val="8"/>
          <w:kern w:val="0"/>
          <w:sz w:val="32"/>
          <w:szCs w:val="32"/>
          <w:lang w:val="en-US" w:eastAsia="zh-CN"/>
        </w:rPr>
        <w:t>202</w:t>
      </w:r>
      <w:r>
        <w:rPr>
          <w:rFonts w:hint="eastAsia" w:ascii="Times New Roman" w:hAnsi="Times New Roman" w:eastAsia="仿宋_GB2312" w:cs="Times New Roman"/>
          <w:spacing w:val="8"/>
          <w:kern w:val="0"/>
          <w:sz w:val="32"/>
          <w:szCs w:val="32"/>
          <w:lang w:val="en-US" w:eastAsia="zh-CN"/>
        </w:rPr>
        <w:t>2</w:t>
      </w:r>
      <w:r>
        <w:rPr>
          <w:rFonts w:hint="default" w:ascii="Times New Roman" w:hAnsi="Times New Roman" w:eastAsia="仿宋_GB2312" w:cs="Times New Roman"/>
          <w:spacing w:val="8"/>
          <w:kern w:val="0"/>
          <w:sz w:val="32"/>
          <w:szCs w:val="32"/>
          <w:lang w:val="en-US" w:eastAsia="zh-CN"/>
        </w:rPr>
        <w:t>年主要改进措施为：一是加强</w:t>
      </w:r>
      <w:r>
        <w:rPr>
          <w:rFonts w:hint="eastAsia" w:ascii="Times New Roman" w:hAnsi="Times New Roman" w:eastAsia="仿宋_GB2312" w:cs="Times New Roman"/>
          <w:spacing w:val="8"/>
          <w:kern w:val="0"/>
          <w:sz w:val="32"/>
          <w:szCs w:val="32"/>
          <w:lang w:val="en-US" w:eastAsia="zh-CN"/>
        </w:rPr>
        <w:t>内部</w:t>
      </w:r>
      <w:r>
        <w:rPr>
          <w:rFonts w:hint="default" w:ascii="Times New Roman" w:hAnsi="Times New Roman" w:eastAsia="仿宋_GB2312" w:cs="Times New Roman"/>
          <w:spacing w:val="8"/>
          <w:kern w:val="0"/>
          <w:sz w:val="32"/>
          <w:szCs w:val="32"/>
          <w:lang w:val="en-US" w:eastAsia="zh-CN"/>
        </w:rPr>
        <w:t>培训宣传，在提高认识上下功夫，通过多种形式，组织开展培训，重点学习《中华人民共和国政府信息公开条例》等有关政务公开的法律、法规、政策等内容。</w:t>
      </w:r>
      <w:r>
        <w:rPr>
          <w:rFonts w:hint="eastAsia" w:ascii="Times New Roman" w:hAnsi="Times New Roman" w:eastAsia="仿宋_GB2312" w:cs="Times New Roman"/>
          <w:spacing w:val="8"/>
          <w:kern w:val="0"/>
          <w:sz w:val="32"/>
          <w:szCs w:val="32"/>
          <w:lang w:val="en-US" w:eastAsia="zh-CN"/>
        </w:rPr>
        <w:t>二是</w:t>
      </w:r>
      <w:r>
        <w:rPr>
          <w:rFonts w:hint="default" w:ascii="Times New Roman" w:hAnsi="Times New Roman" w:eastAsia="仿宋_GB2312" w:cs="Times New Roman"/>
          <w:spacing w:val="8"/>
          <w:kern w:val="0"/>
          <w:sz w:val="32"/>
          <w:szCs w:val="32"/>
          <w:lang w:eastAsia="zh-CN"/>
        </w:rPr>
        <w:t>按照东城区政务公开工作要点、政务公开全清单公开内容标准</w:t>
      </w:r>
      <w:r>
        <w:rPr>
          <w:rFonts w:hint="eastAsia" w:ascii="Times New Roman" w:hAnsi="Times New Roman" w:eastAsia="仿宋_GB2312" w:cs="Times New Roman"/>
          <w:spacing w:val="8"/>
          <w:kern w:val="0"/>
          <w:sz w:val="32"/>
          <w:szCs w:val="32"/>
          <w:lang w:eastAsia="zh-CN"/>
        </w:rPr>
        <w:t>、重点领域标准化指引等文件要求</w:t>
      </w:r>
      <w:r>
        <w:rPr>
          <w:rFonts w:hint="default" w:ascii="Times New Roman" w:hAnsi="Times New Roman" w:eastAsia="仿宋_GB2312" w:cs="Times New Roman"/>
          <w:spacing w:val="8"/>
          <w:kern w:val="0"/>
          <w:sz w:val="32"/>
          <w:szCs w:val="32"/>
          <w:lang w:eastAsia="zh-CN"/>
        </w:rPr>
        <w:t>，对主动公开的政府信息进行严格把关，确保公开要素齐全、内容充实，做到信息公开保质保量。</w:t>
      </w:r>
      <w:r>
        <w:rPr>
          <w:rFonts w:hint="eastAsia" w:eastAsia="仿宋_GB2312" w:cs="Times New Roman"/>
          <w:spacing w:val="8"/>
          <w:kern w:val="0"/>
          <w:sz w:val="32"/>
          <w:szCs w:val="32"/>
          <w:lang w:eastAsia="zh-CN"/>
        </w:rPr>
        <w:t>三是进一步增强责任意识，针对申请人提交的信息公开申请，建立规范的办理流程，把握好推进工作的时间节点，确保无缝隙、全覆盖，避免出现超期答复等情况。</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pStyle w:val="2"/>
        <w:ind w:firstLine="672" w:firstLineChars="200"/>
        <w:rPr>
          <w:rFonts w:hint="eastAsia" w:eastAsia="仿宋_GB2312"/>
          <w:lang w:val="en-US" w:eastAsia="zh-CN"/>
        </w:rPr>
      </w:pPr>
      <w:r>
        <w:rPr>
          <w:rFonts w:hint="eastAsia" w:ascii="Times New Roman" w:hAnsi="Times New Roman" w:eastAsia="仿宋_GB2312" w:cs="Times New Roman"/>
          <w:spacing w:val="8"/>
          <w:kern w:val="0"/>
          <w:sz w:val="32"/>
          <w:szCs w:val="32"/>
          <w:lang w:val="en-US" w:eastAsia="zh-CN"/>
        </w:rPr>
        <w:t>本单位依据《政府信息公开信息处理费管理办法》收取信息处理费，发出收费通知的件数和总金额以及实际收取的总金额均为0。</w:t>
      </w:r>
    </w:p>
    <w:p>
      <w:pPr>
        <w:widowControl/>
        <w:spacing w:line="560" w:lineRule="exact"/>
        <w:ind w:firstLine="672" w:firstLineChars="200"/>
        <w:jc w:val="left"/>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rPr>
        <w:t>北京市东城区人民政府门户网站（“数字东城”）网址为http://www.bjdch.gov.cn/，如需了解更多政府信息，请登录查询。</w:t>
      </w:r>
    </w:p>
    <w:p>
      <w:pPr>
        <w:keepNext w:val="0"/>
        <w:keepLines w:val="0"/>
        <w:pageBreakBefore w:val="0"/>
        <w:widowControl w:val="0"/>
        <w:kinsoku/>
        <w:wordWrap/>
        <w:overflowPunct/>
        <w:topLinePunct w:val="0"/>
        <w:autoSpaceDN/>
        <w:bidi w:val="0"/>
        <w:adjustRightInd w:val="0"/>
        <w:snapToGrid w:val="0"/>
        <w:spacing w:line="560" w:lineRule="exact"/>
        <w:ind w:left="0" w:leftChars="0" w:right="0" w:rightChars="0" w:firstLine="640" w:firstLineChars="200"/>
        <w:jc w:val="right"/>
        <w:textAlignment w:val="auto"/>
        <w:outlineLvl w:val="9"/>
        <w:rPr>
          <w:rFonts w:hint="default" w:ascii="Times New Roman" w:hAnsi="Times New Roman" w:eastAsia="仿宋_GB2312" w:cs="Times New Roman"/>
          <w:sz w:val="32"/>
          <w:szCs w:val="32"/>
          <w:lang w:val="en-US" w:eastAsia="zh-CN"/>
        </w:rPr>
      </w:pPr>
    </w:p>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abstractNum w:abstractNumId="1">
    <w:nsid w:val="61DE891E"/>
    <w:multiLevelType w:val="singleLevel"/>
    <w:tmpl w:val="61DE891E"/>
    <w:lvl w:ilvl="0" w:tentative="0">
      <w:start w:val="4"/>
      <w:numFmt w:val="chineseCounting"/>
      <w:suff w:val="nothing"/>
      <w:lvlText w:val="（%1）"/>
      <w:lvlJc w:val="left"/>
    </w:lvl>
  </w:abstractNum>
  <w:abstractNum w:abstractNumId="2">
    <w:nsid w:val="61DE8A24"/>
    <w:multiLevelType w:val="singleLevel"/>
    <w:tmpl w:val="61DE8A24"/>
    <w:lvl w:ilvl="0" w:tentative="0">
      <w:start w:val="6"/>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1MmY1NTQ2OTYxYzQyOTg2MWEyMDcyZjg0ZjMwYmYifQ=="/>
  </w:docVars>
  <w:rsids>
    <w:rsidRoot w:val="30D16D9B"/>
    <w:rsid w:val="012E2D98"/>
    <w:rsid w:val="30D16D9B"/>
    <w:rsid w:val="388D406B"/>
    <w:rsid w:val="55357EBD"/>
    <w:rsid w:val="79B32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2635</Words>
  <Characters>2744</Characters>
  <Lines>0</Lines>
  <Paragraphs>0</Paragraphs>
  <TotalTime>0</TotalTime>
  <ScaleCrop>false</ScaleCrop>
  <LinksUpToDate>false</LinksUpToDate>
  <CharactersWithSpaces>2928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Administrator</dc:creator>
  <cp:lastModifiedBy>陈扣扣</cp:lastModifiedBy>
  <dcterms:modified xsi:type="dcterms:W3CDTF">2022-09-15T08:10:02Z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076A478B682D4C6DB02952E44B13DDD2</vt:lpwstr>
  </property>
</Properties>
</file>