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北京市东城区退役军人事务局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 xml:space="preserve"> 依据《中华人民共和国政府信息公开条例》(以下简称《政府信息公开条例》)第五十条规定，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结合单位实际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编制本报告。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东城区退役军人事务局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坚持以习近平新时代中国特色社会主义思想为指导，认真落实党中央、国务院关于政务公开的决策部署和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委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政府具体要求，紧密结合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退役军人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工作实际，进一步提升政策发布解读质量，增加公开信息的含金量，积极回应群众关切，以高质量信息公开助力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全区退役军人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工作取得积极成效。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21"/>
          <w:szCs w:val="21"/>
        </w:rPr>
        <w:t xml:space="preserve"> 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  <w:t>（一）主动公开方面。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   2021年，我局通过东城区人民政府门户网站、微信公众号等渠道公开各类信息，配合开展普法宣传。微信公众号订阅量2041人，推送信息249篇、图片566余张、视频10部，浏览量3.5万余次。门户网站全年共发布信息公开指南、公开全清单各1篇，行政执法基本信息9条，相关执法信息8条；发布各类通知公告4条，重点领域信息公开3条，工作动态信息44条。通过视频解读、图解、文字解读等多种形式，推动相关政策应知尽知、应享尽享。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  <w:t>  （二）依申请公开方面。</w:t>
      </w:r>
    </w:p>
    <w:p>
      <w:pPr>
        <w:pStyle w:val="5"/>
        <w:keepNext w:val="0"/>
        <w:keepLines w:val="0"/>
        <w:widowControl/>
        <w:suppressLineNumbers w:val="0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进一步规范政府信息公开申请办理流程，依法依规做好依申请公开答复，强化与申请人的直接沟通，准确了解申请人诉求，提高答复的及时性和针对性。全年共收到政府信息公开申请2件，答复1件，均在法定期限内予以答复。2021年，我局未发生因政府信息公开不规范引发的行政复议、行政诉讼的败诉案件。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  <w:t>  （三）政府信息管理方面。</w:t>
      </w:r>
    </w:p>
    <w:p>
      <w:pPr>
        <w:pStyle w:val="5"/>
        <w:keepNext w:val="0"/>
        <w:keepLines w:val="0"/>
        <w:widowControl/>
        <w:suppressLineNumbers w:val="0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一是严格执行公开制度。在公开工作中切实强化规范意识，严格落实政府信息公开前“三审”制度，对拟公开的政府信息依法依规严格做好保密审查，防止泄漏国家秘密、工作秘密和敏感信息，防范数据汇聚引发泄密风险。二是精准确定公开方式。准确把握不同类型公开要求，综合考虑公开目的、公开效果、后续影响等因素，科学合理确定公开方式。公开内容涉及社会公众利益调整、需要广泛知晓的，均通过互联网等渠道公开。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  <w:t>  （四）政府信息公开平台建设方面。</w:t>
      </w:r>
    </w:p>
    <w:p>
      <w:pPr>
        <w:pStyle w:val="5"/>
        <w:keepNext w:val="0"/>
        <w:keepLines w:val="0"/>
        <w:widowControl/>
        <w:suppressLineNumbers w:val="0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推动落实网络安全工作责任制。强化局门户网站和政务新媒体日常检查、维护，杜绝错链、断链，确保安全平稳运行。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  <w:t>  （五）教育培训和监督保障方面。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 xml:space="preserve">   一是加强内部监督。年初，进一步规范了政府信息发布流程和办理时限，明确责任科室和各业务科室信息工作负责人，进一步压实工作责任，确保信息公开工作严谨高效。局办公室定期对政府信息公开工作进行监督检查，对凡应该应该公开而没有公开，以及公开内容不规范的，限期整改。2021年，我局组织相关干部开展信息业务培训4次，进一步提升政务公开工作质量。二是加强群众监督。公开局机关联系电话，接受社会监督。  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7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numPr>
          <w:ilvl w:val="0"/>
          <w:numId w:val="0"/>
        </w:numPr>
        <w:spacing w:line="560" w:lineRule="exact"/>
        <w:ind w:left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7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br w:type="textWrapping"/>
      </w:r>
    </w:p>
    <w:p>
      <w:pPr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7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2021年，北京市东城区退役军人事务局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认真贯彻落实政府信息公开工作的相关要求，较好完成了本年度的信息公开任务，但仍存在一些不足，主要是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提高信息时效性等方面仍存在一些差距，部分干部职工对信息公开工作重视程度不强，工作存在不细致，对政治理论学习不够表述不规范的现象。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下一步，我们将在区政府政务公开信息领导小组的领导下，继续开拓创新，着力做好以下几项工作：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加大利用门户网站公开信息力度，进一步优化和应用政府信息公开系统，加强资源整合，充分运用信息化平台和系统，不断提高政府信息公开工作效率和规范化水平。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加强学习培训，增强干部职工特别是领导干部对政府信息公开工作重要性的认识，提高相关工作人员做好政府信息公开工作的能力和水平。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继续做好信息公开保密审查工作，在最大限度地公开政府信息的同时，做到不涉密、不泄密。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/>
        <w:jc w:val="left"/>
        <w:textAlignment w:val="auto"/>
        <w:outlineLvl w:val="9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1.本单位依据《政府信息公开信息处理费管理办法》收取信息处理费，发出收费通知的件数和总金额以及实际收取的总金额均为0。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2.北京市东城区人民政府门户网站网址为http://www.bjdch.gov.cn/，如需了解更多政府信息，请登录查询。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附件：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instrText xml:space="preserve"> HYPERLINK "http://172.25.65.106/manageweb/edit.content.StreamOutPartsAction.action?contentId=9074517&amp;partId=9074542" </w:instrTex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北京市东城区退役军人事务局2021年政府信息公开工作年度报告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fldChar w:fldCharType="end"/>
      </w:r>
    </w:p>
    <w:p>
      <w:pPr>
        <w:pStyle w:val="2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64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 北京市东城区退役军人事务局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64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   2021年12月28日</w:t>
      </w:r>
    </w:p>
    <w:p>
      <w:pPr>
        <w:pStyle w:val="2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</w:p>
    <w:p/>
    <w:p/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D2551"/>
    <w:multiLevelType w:val="singleLevel"/>
    <w:tmpl w:val="61DD255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35A11"/>
    <w:rsid w:val="007E7BD9"/>
    <w:rsid w:val="027E56D4"/>
    <w:rsid w:val="0547763E"/>
    <w:rsid w:val="07DE466A"/>
    <w:rsid w:val="08A35A11"/>
    <w:rsid w:val="09B37411"/>
    <w:rsid w:val="0A674B1E"/>
    <w:rsid w:val="0D455745"/>
    <w:rsid w:val="0EBC1617"/>
    <w:rsid w:val="10C45537"/>
    <w:rsid w:val="11CA75CB"/>
    <w:rsid w:val="13E35065"/>
    <w:rsid w:val="19BC25B6"/>
    <w:rsid w:val="1A39589F"/>
    <w:rsid w:val="1BD114CB"/>
    <w:rsid w:val="1C0870D7"/>
    <w:rsid w:val="1CFE0C4E"/>
    <w:rsid w:val="1D895F34"/>
    <w:rsid w:val="232C0E84"/>
    <w:rsid w:val="2599701A"/>
    <w:rsid w:val="2AC22C80"/>
    <w:rsid w:val="2C4D1495"/>
    <w:rsid w:val="2CD92CA5"/>
    <w:rsid w:val="306478C9"/>
    <w:rsid w:val="30773291"/>
    <w:rsid w:val="317E5360"/>
    <w:rsid w:val="34EC2F06"/>
    <w:rsid w:val="35D273FC"/>
    <w:rsid w:val="36381EA8"/>
    <w:rsid w:val="3A1403D7"/>
    <w:rsid w:val="3C0510A7"/>
    <w:rsid w:val="3E391E10"/>
    <w:rsid w:val="40D20482"/>
    <w:rsid w:val="46111145"/>
    <w:rsid w:val="46B41F0B"/>
    <w:rsid w:val="48E4485A"/>
    <w:rsid w:val="4A1E4540"/>
    <w:rsid w:val="4A526A86"/>
    <w:rsid w:val="4AAC49B3"/>
    <w:rsid w:val="4CAE1BE2"/>
    <w:rsid w:val="4CEF3C01"/>
    <w:rsid w:val="4DB03D7E"/>
    <w:rsid w:val="4E0C5152"/>
    <w:rsid w:val="506A6C60"/>
    <w:rsid w:val="5482786D"/>
    <w:rsid w:val="54BD2F25"/>
    <w:rsid w:val="553B648D"/>
    <w:rsid w:val="560F30F0"/>
    <w:rsid w:val="566C55EB"/>
    <w:rsid w:val="583E39F9"/>
    <w:rsid w:val="5A9F7245"/>
    <w:rsid w:val="5CBF2933"/>
    <w:rsid w:val="5F201427"/>
    <w:rsid w:val="5FF63FB5"/>
    <w:rsid w:val="5FFA311F"/>
    <w:rsid w:val="604765B9"/>
    <w:rsid w:val="60A97AF5"/>
    <w:rsid w:val="6355323E"/>
    <w:rsid w:val="653A026C"/>
    <w:rsid w:val="677951A0"/>
    <w:rsid w:val="67BB60C0"/>
    <w:rsid w:val="6A4920E8"/>
    <w:rsid w:val="6B7E6305"/>
    <w:rsid w:val="6E2B3F29"/>
    <w:rsid w:val="6FC22A93"/>
    <w:rsid w:val="70D8330C"/>
    <w:rsid w:val="745D7C08"/>
    <w:rsid w:val="74771D88"/>
    <w:rsid w:val="74AE213E"/>
    <w:rsid w:val="77824F80"/>
    <w:rsid w:val="785A49BB"/>
    <w:rsid w:val="79B700DC"/>
    <w:rsid w:val="7CBE7575"/>
    <w:rsid w:val="7CD33C60"/>
    <w:rsid w:val="7D194FF9"/>
    <w:rsid w:val="7FD3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2021-12-10T01:56:00Z</dcterms:created>
  <dc:creator>赵扬</dc:creator>
  <cp:lastModifiedBy>赵艺琳</cp:lastModifiedBy>
  <cp:lastPrinted>2021-12-28T07:47:00Z</cp:lastPrinted>
  <dcterms:modified xsi:type="dcterms:W3CDTF">2023-03-23T07:42:37Z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