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color w:val="333333"/>
          <w:sz w:val="44"/>
          <w:szCs w:val="44"/>
          <w:shd w:val="clear" w:color="auto" w:fill="FFFFFF"/>
        </w:rPr>
      </w:pPr>
      <w:r>
        <w:rPr>
          <w:rFonts w:hint="eastAsia" w:ascii="方正小标宋简体" w:hAnsi="微软雅黑" w:eastAsia="方正小标宋简体"/>
          <w:color w:val="333333"/>
          <w:sz w:val="44"/>
          <w:szCs w:val="44"/>
          <w:shd w:val="clear" w:color="auto" w:fill="FFFFFF"/>
        </w:rPr>
        <w:t>北京市东城区统计局  经济社会调查队</w:t>
      </w:r>
    </w:p>
    <w:p>
      <w:pPr>
        <w:spacing w:line="560" w:lineRule="exact"/>
        <w:jc w:val="center"/>
        <w:rPr>
          <w:rFonts w:ascii="方正小标宋简体" w:hAnsi="微软雅黑" w:eastAsia="方正小标宋简体"/>
          <w:color w:val="333333"/>
          <w:sz w:val="44"/>
          <w:szCs w:val="44"/>
          <w:shd w:val="clear" w:color="auto" w:fill="FFFFFF"/>
        </w:rPr>
      </w:pPr>
      <w:r>
        <w:rPr>
          <w:rFonts w:hint="eastAsia" w:ascii="方正小标宋简体" w:hAnsi="微软雅黑" w:eastAsia="方正小标宋简体"/>
          <w:color w:val="333333"/>
          <w:sz w:val="44"/>
          <w:szCs w:val="44"/>
          <w:shd w:val="clear" w:color="auto" w:fill="FFFFFF"/>
        </w:rPr>
        <w:t>2021年政府信息公开工作年度报告</w:t>
      </w:r>
    </w:p>
    <w:p>
      <w:pPr>
        <w:spacing w:line="560" w:lineRule="exact"/>
        <w:jc w:val="center"/>
        <w:rPr>
          <w:rFonts w:ascii="方正小标宋简体" w:hAnsi="微软雅黑" w:eastAsia="方正小标宋简体"/>
          <w:color w:val="333333"/>
          <w:sz w:val="44"/>
          <w:szCs w:val="44"/>
          <w:shd w:val="clear" w:color="auto" w:fill="FFFFFF"/>
        </w:rPr>
      </w:pPr>
    </w:p>
    <w:p>
      <w:pPr>
        <w:pStyle w:val="7"/>
        <w:shd w:val="clear" w:color="auto" w:fill="FFFFFF"/>
        <w:spacing w:before="0" w:beforeAutospacing="0" w:after="0" w:afterAutospacing="0" w:line="560" w:lineRule="exact"/>
        <w:ind w:firstLine="640"/>
        <w:jc w:val="both"/>
        <w:rPr>
          <w:rFonts w:ascii="微软雅黑" w:hAnsi="微软雅黑" w:eastAsia="微软雅黑"/>
          <w:sz w:val="32"/>
          <w:szCs w:val="32"/>
        </w:rPr>
      </w:pPr>
      <w:r>
        <w:rPr>
          <w:rFonts w:hint="eastAsia" w:ascii="仿宋_GB2312" w:hAnsi="微软雅黑" w:eastAsia="仿宋_GB2312"/>
          <w:sz w:val="32"/>
          <w:szCs w:val="32"/>
        </w:rPr>
        <w:t>依据《中华人民共和国政府信息公开条例》（以下简称《政府信息公开条例》）第五十条规定，编制本报告。</w:t>
      </w:r>
    </w:p>
    <w:p>
      <w:pPr>
        <w:pStyle w:val="7"/>
        <w:shd w:val="clear" w:color="auto" w:fill="FFFFFF"/>
        <w:snapToGrid w:val="0"/>
        <w:spacing w:before="0" w:beforeAutospacing="0" w:after="0" w:afterAutospacing="0" w:line="560" w:lineRule="exact"/>
        <w:ind w:firstLine="640"/>
        <w:jc w:val="both"/>
        <w:rPr>
          <w:rFonts w:ascii="微软雅黑" w:hAnsi="微软雅黑" w:eastAsia="微软雅黑"/>
          <w:color w:val="404040"/>
          <w:sz w:val="32"/>
          <w:szCs w:val="32"/>
        </w:rPr>
      </w:pPr>
      <w:r>
        <w:rPr>
          <w:rFonts w:hint="eastAsia" w:ascii="黑体" w:hAnsi="黑体" w:eastAsia="黑体"/>
          <w:color w:val="000000"/>
          <w:sz w:val="32"/>
          <w:szCs w:val="32"/>
        </w:rPr>
        <w:t>一、总体情况</w:t>
      </w:r>
    </w:p>
    <w:p>
      <w:pPr>
        <w:pStyle w:val="7"/>
        <w:shd w:val="clear" w:color="auto" w:fill="FFFFFF"/>
        <w:snapToGrid w:val="0"/>
        <w:spacing w:before="0" w:beforeAutospacing="0" w:after="0" w:afterAutospacing="0" w:line="560" w:lineRule="exact"/>
        <w:ind w:firstLine="640"/>
        <w:jc w:val="both"/>
        <w:rPr>
          <w:rFonts w:ascii="楷体_GB2312" w:hAnsi="微软雅黑" w:eastAsia="楷体_GB2312"/>
          <w:color w:val="000000"/>
          <w:sz w:val="32"/>
          <w:szCs w:val="32"/>
        </w:rPr>
      </w:pPr>
      <w:r>
        <w:rPr>
          <w:rFonts w:hint="eastAsia" w:ascii="楷体_GB2312" w:hAnsi="微软雅黑" w:eastAsia="楷体_GB2312"/>
          <w:color w:val="000000"/>
          <w:sz w:val="32"/>
          <w:szCs w:val="32"/>
        </w:rPr>
        <w:t>（一）组织领导</w:t>
      </w:r>
    </w:p>
    <w:p>
      <w:pPr>
        <w:widowControl/>
        <w:shd w:val="clear" w:color="auto" w:fill="FFFFFF"/>
        <w:snapToGrid w:val="0"/>
        <w:spacing w:line="560" w:lineRule="exact"/>
        <w:ind w:firstLine="640"/>
        <w:rPr>
          <w:rFonts w:ascii="仿宋_GB2312" w:hAnsi="微软雅黑" w:eastAsia="仿宋_GB2312" w:cs="宋体"/>
          <w:kern w:val="0"/>
          <w:sz w:val="32"/>
          <w:szCs w:val="32"/>
        </w:rPr>
      </w:pPr>
      <w:r>
        <w:rPr>
          <w:rFonts w:hint="eastAsia" w:ascii="仿宋_GB2312" w:hAnsi="微软雅黑" w:eastAsia="仿宋_GB2312"/>
          <w:sz w:val="32"/>
          <w:szCs w:val="32"/>
        </w:rPr>
        <w:t>北京市东城区统计局、经济社会调查队（以下简称东城局队）,</w:t>
      </w:r>
      <w:r>
        <w:rPr>
          <w:rFonts w:hint="eastAsia" w:ascii="仿宋_GB2312" w:hAnsi="微软雅黑" w:eastAsia="仿宋_GB2312" w:cs="宋体"/>
          <w:kern w:val="0"/>
          <w:sz w:val="32"/>
          <w:szCs w:val="32"/>
        </w:rPr>
        <w:t>严格按照《政府信息公开条例》</w:t>
      </w:r>
      <w:r>
        <w:rPr>
          <w:rFonts w:hint="eastAsia" w:ascii="仿宋_GB2312" w:hAnsi="微软雅黑" w:eastAsia="仿宋_GB2312"/>
          <w:sz w:val="32"/>
          <w:szCs w:val="32"/>
        </w:rPr>
        <w:t>要求，切实加强组织领导，设立局队政府信息和政务公开工作</w:t>
      </w:r>
      <w:r>
        <w:rPr>
          <w:rFonts w:hint="eastAsia" w:ascii="仿宋_GB2312" w:hAnsi="微软雅黑" w:eastAsia="仿宋_GB2312" w:cs="宋体"/>
          <w:kern w:val="0"/>
          <w:sz w:val="32"/>
          <w:szCs w:val="32"/>
        </w:rPr>
        <w:t>协调组，统筹推进局队信息公开工作。</w:t>
      </w:r>
    </w:p>
    <w:p>
      <w:pPr>
        <w:pStyle w:val="7"/>
        <w:shd w:val="clear" w:color="auto" w:fill="FFFFFF"/>
        <w:snapToGrid w:val="0"/>
        <w:spacing w:before="0" w:beforeAutospacing="0" w:after="0" w:afterAutospacing="0" w:line="560" w:lineRule="exact"/>
        <w:ind w:firstLine="640"/>
        <w:jc w:val="both"/>
        <w:rPr>
          <w:rFonts w:ascii="楷体_GB2312" w:hAnsi="微软雅黑" w:eastAsia="楷体_GB2312"/>
          <w:color w:val="000000"/>
          <w:sz w:val="32"/>
          <w:szCs w:val="32"/>
        </w:rPr>
      </w:pPr>
      <w:r>
        <w:rPr>
          <w:rFonts w:hint="eastAsia" w:ascii="楷体_GB2312" w:hAnsi="微软雅黑" w:eastAsia="楷体_GB2312"/>
          <w:color w:val="000000"/>
          <w:sz w:val="32"/>
          <w:szCs w:val="32"/>
        </w:rPr>
        <w:t>（二）主动公开情况</w:t>
      </w:r>
    </w:p>
    <w:p>
      <w:pPr>
        <w:widowControl/>
        <w:shd w:val="clear" w:color="auto" w:fill="FFFFFF"/>
        <w:snapToGrid w:val="0"/>
        <w:spacing w:line="560" w:lineRule="exact"/>
        <w:ind w:firstLine="640"/>
        <w:rPr>
          <w:rFonts w:ascii="仿宋_GB2312" w:hAnsi="微软雅黑" w:eastAsia="仿宋_GB2312"/>
          <w:sz w:val="32"/>
          <w:szCs w:val="32"/>
        </w:rPr>
      </w:pPr>
      <w:r>
        <w:rPr>
          <w:rFonts w:hint="eastAsia" w:ascii="仿宋_GB2312" w:hAnsi="微软雅黑" w:eastAsia="仿宋_GB2312"/>
          <w:sz w:val="32"/>
          <w:szCs w:val="32"/>
        </w:rPr>
        <w:t>东城局队依照法律、法规和相关规定，对涉及公民、法人或者其他组织切身利益，需要社会公众广泛知晓并参与的重要信息进行公开。包括行政职责、规划计划、财政预决算、统计调查项目、统计数据、行政处罚等。2021年，东城局队在东城区政府门户网站主动公开信息291条，其中统计数据信息175条。10月，局队在东城区景山市民文化中心举办主题为“赓续红色血脉，奋进统计未来”2021年东城区政府统计开放日活动，进一步推进统计工作的公开透明，加深统计系统与社会公众的沟通交流。</w:t>
      </w:r>
    </w:p>
    <w:p>
      <w:pPr>
        <w:pStyle w:val="7"/>
        <w:shd w:val="clear" w:color="auto" w:fill="FFFFFF"/>
        <w:snapToGrid w:val="0"/>
        <w:spacing w:before="0" w:beforeAutospacing="0" w:after="0" w:afterAutospacing="0" w:line="560" w:lineRule="exact"/>
        <w:ind w:firstLine="640"/>
        <w:jc w:val="both"/>
        <w:rPr>
          <w:rFonts w:ascii="楷体_GB2312" w:hAnsi="微软雅黑" w:eastAsia="楷体_GB2312"/>
          <w:color w:val="000000"/>
          <w:sz w:val="32"/>
          <w:szCs w:val="32"/>
        </w:rPr>
      </w:pPr>
      <w:r>
        <w:rPr>
          <w:rFonts w:hint="eastAsia" w:ascii="楷体_GB2312" w:hAnsi="微软雅黑" w:eastAsia="楷体_GB2312"/>
          <w:color w:val="000000"/>
          <w:sz w:val="32"/>
          <w:szCs w:val="32"/>
        </w:rPr>
        <w:t>（三）依申请公开办理情况</w:t>
      </w:r>
    </w:p>
    <w:p>
      <w:pPr>
        <w:pStyle w:val="7"/>
        <w:shd w:val="clear" w:color="auto" w:fill="FFFFFF"/>
        <w:snapToGrid w:val="0"/>
        <w:spacing w:before="0" w:beforeAutospacing="0" w:after="0" w:afterAutospacing="0" w:line="56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2021年，东城局队共收到政府信息公开申请3件,上年结转申请0件。其中，申请人类别为自然人的3件，均在法定时限内给予了答复。已答复的3</w:t>
      </w:r>
      <w:r>
        <w:rPr>
          <w:rFonts w:hint="eastAsia" w:ascii="仿宋_GB2312" w:hAnsi="微软雅黑" w:eastAsia="仿宋_GB2312"/>
          <w:sz w:val="32"/>
          <w:szCs w:val="32"/>
        </w:rPr>
        <w:t>件中，“部分公开”的1件，“不存在”的2件。全年</w:t>
      </w:r>
      <w:r>
        <w:rPr>
          <w:rFonts w:hint="eastAsia" w:ascii="仿宋_GB2312" w:hAnsi="微软雅黑" w:eastAsia="仿宋_GB2312"/>
          <w:color w:val="000000"/>
          <w:sz w:val="32"/>
          <w:szCs w:val="32"/>
        </w:rPr>
        <w:t>未发生针对政府信息公开的行政复议、行政诉讼及投诉举报情况。</w:t>
      </w:r>
    </w:p>
    <w:p>
      <w:pPr>
        <w:pStyle w:val="7"/>
        <w:shd w:val="clear" w:color="auto" w:fill="FFFFFF"/>
        <w:snapToGrid w:val="0"/>
        <w:spacing w:before="0" w:beforeAutospacing="0" w:after="0" w:afterAutospacing="0" w:line="560" w:lineRule="exact"/>
        <w:ind w:firstLine="640"/>
        <w:jc w:val="both"/>
        <w:rPr>
          <w:rFonts w:ascii="楷体_GB2312" w:hAnsi="微软雅黑" w:eastAsia="楷体_GB2312"/>
          <w:color w:val="000000"/>
          <w:sz w:val="32"/>
          <w:szCs w:val="32"/>
        </w:rPr>
      </w:pPr>
      <w:r>
        <w:rPr>
          <w:rFonts w:hint="eastAsia" w:ascii="楷体_GB2312" w:hAnsi="微软雅黑" w:eastAsia="楷体_GB2312"/>
          <w:color w:val="000000"/>
          <w:sz w:val="32"/>
          <w:szCs w:val="32"/>
        </w:rPr>
        <w:t>（四）政府信息管理情况</w:t>
      </w:r>
    </w:p>
    <w:p>
      <w:pPr>
        <w:pStyle w:val="7"/>
        <w:shd w:val="clear" w:color="auto" w:fill="FFFFFF"/>
        <w:snapToGrid w:val="0"/>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2021年，东城局队坚持将政府信息公开工作纳入年度机关总体工作，同谋划、同部署。对照《东城区2021年政务公开工作要点》，严格落实各项责任。1月，局队制定并发布《2021年东城区统计数据发布计划》、《2021年东城区统计信息发布计划》，按计划定期进行统计数据、统计信息发布</w:t>
      </w:r>
      <w:bookmarkStart w:id="0" w:name="_GoBack"/>
      <w:bookmarkEnd w:id="0"/>
      <w:r>
        <w:rPr>
          <w:rFonts w:hint="eastAsia" w:ascii="仿宋_GB2312" w:hAnsi="微软雅黑" w:eastAsia="仿宋_GB2312"/>
          <w:sz w:val="32"/>
          <w:szCs w:val="32"/>
        </w:rPr>
        <w:t>。3月，局队通过网络、报刊等渠道发布《北京市东城区2020年国民经济和社会发展统计公报》，并进行了公报解读。6月，局队发布北京市东城区第七次全国人口普查公报。12月，局队发布2021年统计年鉴。</w:t>
      </w:r>
    </w:p>
    <w:p>
      <w:pPr>
        <w:pStyle w:val="7"/>
        <w:shd w:val="clear" w:color="auto" w:fill="FFFFFF"/>
        <w:snapToGrid w:val="0"/>
        <w:spacing w:before="0" w:beforeAutospacing="0" w:after="0" w:afterAutospacing="0" w:line="560" w:lineRule="exact"/>
        <w:ind w:firstLine="640"/>
        <w:jc w:val="both"/>
        <w:rPr>
          <w:rFonts w:ascii="楷体_GB2312" w:hAnsi="微软雅黑" w:eastAsia="楷体_GB2312"/>
          <w:color w:val="000000"/>
          <w:sz w:val="32"/>
          <w:szCs w:val="32"/>
        </w:rPr>
      </w:pPr>
      <w:r>
        <w:rPr>
          <w:rFonts w:hint="eastAsia" w:ascii="楷体_GB2312" w:hAnsi="微软雅黑" w:eastAsia="楷体_GB2312"/>
          <w:color w:val="000000"/>
          <w:sz w:val="32"/>
          <w:szCs w:val="32"/>
        </w:rPr>
        <w:t>（五）政府信息公开平台建设情况</w:t>
      </w:r>
    </w:p>
    <w:p>
      <w:pPr>
        <w:pStyle w:val="7"/>
        <w:shd w:val="clear" w:color="auto" w:fill="FFFFFF"/>
        <w:snapToGrid w:val="0"/>
        <w:spacing w:before="0" w:beforeAutospacing="0" w:after="0" w:afterAutospacing="0" w:line="560" w:lineRule="exact"/>
        <w:ind w:firstLine="640"/>
        <w:jc w:val="both"/>
        <w:rPr>
          <w:rFonts w:ascii="微软雅黑" w:hAnsi="微软雅黑" w:eastAsia="微软雅黑"/>
          <w:sz w:val="32"/>
          <w:szCs w:val="32"/>
        </w:rPr>
      </w:pPr>
      <w:r>
        <w:rPr>
          <w:rFonts w:hint="eastAsia" w:ascii="仿宋_GB2312" w:hAnsi="微软雅黑" w:eastAsia="仿宋_GB2312"/>
          <w:sz w:val="32"/>
          <w:szCs w:val="32"/>
        </w:rPr>
        <w:t>积极配合推进政府网站集约化建设，认真梳理东城区政府门户网站中涉及统计部门工作职能职责的相关栏目，</w:t>
      </w:r>
      <w:r>
        <w:rPr>
          <w:rFonts w:hint="eastAsia" w:ascii="仿宋_GB2312" w:hAnsi="华文中宋" w:eastAsia="仿宋_GB2312" w:cs="Times New Roman"/>
          <w:sz w:val="32"/>
          <w:szCs w:val="32"/>
        </w:rPr>
        <w:t>配合区政务服务局网站平台优化建设，</w:t>
      </w:r>
      <w:r>
        <w:rPr>
          <w:rFonts w:hint="eastAsia" w:ascii="仿宋_GB2312" w:hAnsi="微软雅黑" w:eastAsia="仿宋_GB2312"/>
          <w:sz w:val="32"/>
          <w:szCs w:val="32"/>
        </w:rPr>
        <w:t>对栏目内容、形式等进行优化完善。按要求开展对外联系电话清理整改工作，规范本单位对外联系电话，专人值守接听，快速回应群众诉求，提高政务服务质量。</w:t>
      </w:r>
    </w:p>
    <w:p>
      <w:pPr>
        <w:pStyle w:val="7"/>
        <w:shd w:val="clear" w:color="auto" w:fill="FFFFFF"/>
        <w:snapToGrid w:val="0"/>
        <w:spacing w:before="0" w:beforeAutospacing="0" w:after="0" w:afterAutospacing="0" w:line="560" w:lineRule="exact"/>
        <w:ind w:firstLine="640"/>
        <w:jc w:val="both"/>
        <w:rPr>
          <w:rFonts w:ascii="微软雅黑" w:hAnsi="微软雅黑" w:eastAsia="微软雅黑"/>
          <w:color w:val="404040"/>
          <w:sz w:val="32"/>
          <w:szCs w:val="32"/>
        </w:rPr>
      </w:pPr>
      <w:r>
        <w:rPr>
          <w:rFonts w:hint="eastAsia" w:ascii="楷体_GB2312" w:hAnsi="微软雅黑" w:eastAsia="楷体_GB2312"/>
          <w:color w:val="000000"/>
          <w:sz w:val="32"/>
          <w:szCs w:val="32"/>
        </w:rPr>
        <w:t>（六）政府信息公开监督保障及教育培训情况</w:t>
      </w:r>
    </w:p>
    <w:p>
      <w:pPr>
        <w:pStyle w:val="7"/>
        <w:shd w:val="clear" w:color="auto" w:fill="FFFFFF"/>
        <w:snapToGrid w:val="0"/>
        <w:spacing w:before="0" w:beforeAutospacing="0" w:after="0" w:afterAutospacing="0" w:line="560" w:lineRule="exact"/>
        <w:ind w:firstLine="640"/>
        <w:jc w:val="both"/>
        <w:rPr>
          <w:rFonts w:ascii="微软雅黑" w:hAnsi="微软雅黑" w:eastAsia="微软雅黑"/>
          <w:sz w:val="32"/>
          <w:szCs w:val="32"/>
        </w:rPr>
      </w:pPr>
      <w:r>
        <w:rPr>
          <w:rFonts w:hint="eastAsia" w:ascii="仿宋_GB2312" w:hAnsi="微软雅黑" w:eastAsia="仿宋_GB2312"/>
          <w:sz w:val="32"/>
          <w:szCs w:val="32"/>
        </w:rPr>
        <w:t>2021年，东城局队</w:t>
      </w:r>
      <w:r>
        <w:rPr>
          <w:rFonts w:hint="eastAsia" w:ascii="仿宋_GB2312" w:hAnsi="Helvetica" w:eastAsia="仿宋_GB2312" w:cs="Helvetica"/>
          <w:sz w:val="32"/>
          <w:szCs w:val="32"/>
        </w:rPr>
        <w:t>启动内部规章制度的全面修订工作,对政府信息公开制度进行了合并整理</w:t>
      </w:r>
      <w:r>
        <w:rPr>
          <w:rFonts w:hint="eastAsia" w:ascii="仿宋_GB2312" w:hAnsi="微软雅黑" w:eastAsia="仿宋_GB2312"/>
          <w:sz w:val="32"/>
          <w:szCs w:val="32"/>
        </w:rPr>
        <w:t>，并组织局队全体干部开展有关政府信息公开知识的集中培训。根据《政府信息公开条例》要求，及时修订局队政府信息公开指南，组织各科室对本部门涉及的公开事项进行认真梳理，完善主动公开全清单，方便受众查询。</w:t>
      </w:r>
    </w:p>
    <w:p>
      <w:pPr>
        <w:pStyle w:val="7"/>
        <w:shd w:val="clear" w:color="auto" w:fill="FFFFFF"/>
        <w:spacing w:before="0" w:beforeAutospacing="0" w:after="0" w:afterAutospacing="0" w:line="560" w:lineRule="exact"/>
        <w:ind w:firstLine="640"/>
        <w:jc w:val="both"/>
        <w:rPr>
          <w:rFonts w:ascii="黑体" w:hAnsi="黑体" w:eastAsia="黑体"/>
          <w:color w:val="000000"/>
          <w:sz w:val="32"/>
          <w:szCs w:val="32"/>
        </w:rPr>
      </w:pPr>
      <w:r>
        <w:rPr>
          <w:rFonts w:hint="eastAsia" w:ascii="黑体" w:hAnsi="黑体" w:eastAsia="黑体"/>
          <w:color w:val="000000"/>
          <w:sz w:val="32"/>
          <w:szCs w:val="32"/>
        </w:rPr>
        <w:t>二、主动公开政府信息情况</w:t>
      </w:r>
    </w:p>
    <w:p>
      <w:pPr>
        <w:pStyle w:val="3"/>
      </w:pPr>
    </w:p>
    <w:tbl>
      <w:tblPr>
        <w:tblStyle w:val="10"/>
        <w:tblW w:w="9740" w:type="dxa"/>
        <w:jc w:val="center"/>
        <w:tblInd w:w="-57"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highlight w:val="yellow"/>
              </w:rPr>
            </w:pPr>
            <w:r>
              <w:rPr>
                <w:rFonts w:hint="eastAsia"/>
              </w:rPr>
              <w:t>44</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eastAsia="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szCs w:val="24"/>
              </w:rPr>
            </w:pPr>
            <w:r>
              <w:rPr>
                <w:rFonts w:hint="eastAsia" w:ascii="宋体"/>
                <w:sz w:val="24"/>
                <w:szCs w:val="24"/>
              </w:rPr>
              <w:t>0</w:t>
            </w:r>
          </w:p>
        </w:tc>
      </w:tr>
    </w:tbl>
    <w:p>
      <w:pPr>
        <w:pStyle w:val="3"/>
      </w:pPr>
    </w:p>
    <w:p>
      <w:pPr>
        <w:pStyle w:val="3"/>
      </w:pPr>
      <w:r>
        <w:rPr>
          <w:rFonts w:hint="eastAsia"/>
        </w:rPr>
        <w:br w:type="page"/>
      </w:r>
    </w:p>
    <w:p>
      <w:pPr>
        <w:pStyle w:val="7"/>
        <w:shd w:val="clear" w:color="auto" w:fill="FFFFFF"/>
        <w:spacing w:before="0" w:beforeAutospacing="0" w:after="0" w:afterAutospacing="0" w:line="560" w:lineRule="exact"/>
        <w:ind w:firstLine="640"/>
        <w:jc w:val="both"/>
        <w:rPr>
          <w:rFonts w:ascii="黑体" w:hAnsi="黑体" w:eastAsia="黑体"/>
          <w:color w:val="000000"/>
          <w:sz w:val="32"/>
          <w:szCs w:val="32"/>
        </w:rPr>
      </w:pPr>
      <w:r>
        <w:rPr>
          <w:rFonts w:hint="eastAsia" w:ascii="黑体" w:hAnsi="黑体" w:eastAsia="黑体"/>
          <w:color w:val="000000"/>
          <w:sz w:val="32"/>
          <w:szCs w:val="32"/>
        </w:rPr>
        <w:t>三、收到和处理政府信息公开申请情况</w:t>
      </w: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rFonts w:hint="eastAsia" w:ascii="宋体" w:hAnsi="宋体" w:eastAsia="宋体" w:cs="宋体"/>
                <w:kern w:val="0"/>
                <w:sz w:val="20"/>
                <w:szCs w:val="20"/>
              </w:rPr>
              <w:t>商业</w:t>
            </w:r>
          </w:p>
          <w:p>
            <w:pPr>
              <w:widowControl/>
              <w:jc w:val="cente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rFonts w:hint="eastAsia" w:ascii="宋体" w:hAnsi="宋体" w:eastAsia="宋体" w:cs="宋体"/>
                <w:kern w:val="0"/>
                <w:sz w:val="20"/>
                <w:szCs w:val="20"/>
              </w:rPr>
              <w:t>科研</w:t>
            </w:r>
          </w:p>
          <w:p>
            <w:pPr>
              <w:widowControl/>
              <w:jc w:val="cente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rFonts w:hint="eastAsia" w:ascii="宋体" w:hAnsi="宋体" w:eastAsia="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cs="Calibri"/>
                <w:kern w:val="0"/>
                <w:sz w:val="20"/>
                <w:szCs w:val="2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1</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1</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eastAsia="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sz w:val="20"/>
                <w:szCs w:val="20"/>
              </w:rPr>
            </w:pPr>
            <w:r>
              <w:rPr>
                <w:rFonts w:hint="eastAsia" w:ascii="宋体" w:hAnsi="宋体" w:eastAsia="宋体"/>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宋体" w:hAnsi="宋体" w:eastAsia="宋体"/>
                <w:sz w:val="20"/>
                <w:szCs w:val="20"/>
              </w:rPr>
            </w:pPr>
            <w:r>
              <w:rPr>
                <w:rFonts w:hint="eastAsia" w:ascii="宋体" w:hAnsi="宋体" w:eastAsia="宋体"/>
                <w:sz w:val="20"/>
                <w:szCs w:val="2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eastAsia="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宋体" w:hAnsi="宋体" w:eastAsia="宋体"/>
                <w:sz w:val="20"/>
                <w:szCs w:val="20"/>
              </w:rPr>
            </w:pPr>
            <w:r>
              <w:rPr>
                <w:rFonts w:hint="eastAsia" w:ascii="宋体" w:hAnsi="宋体" w:eastAsia="宋体"/>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hAnsi="宋体" w:eastAsia="宋体"/>
                <w:sz w:val="20"/>
                <w:szCs w:val="20"/>
              </w:rPr>
            </w:pPr>
            <w:r>
              <w:rPr>
                <w:rFonts w:hint="eastAsia" w:ascii="宋体" w:hAnsi="宋体" w:eastAsia="宋体"/>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hAnsi="宋体" w:eastAsia="宋体"/>
                <w:sz w:val="20"/>
                <w:szCs w:val="20"/>
              </w:rPr>
            </w:pPr>
            <w:r>
              <w:rPr>
                <w:rFonts w:hint="eastAsia" w:ascii="宋体" w:hAnsi="宋体" w:eastAsia="宋体"/>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hAnsi="宋体" w:eastAsia="宋体"/>
                <w:sz w:val="20"/>
                <w:szCs w:val="20"/>
              </w:rPr>
            </w:pPr>
            <w:r>
              <w:rPr>
                <w:rFonts w:hint="eastAsia" w:ascii="宋体" w:hAnsi="宋体" w:eastAsia="宋体"/>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hAnsi="宋体" w:eastAsia="宋体"/>
                <w:sz w:val="20"/>
                <w:szCs w:val="20"/>
              </w:rPr>
            </w:pPr>
            <w:r>
              <w:rPr>
                <w:rFonts w:hint="eastAsia" w:ascii="宋体" w:hAnsi="宋体" w:eastAsia="宋体"/>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hAnsi="宋体" w:eastAsia="宋体"/>
                <w:sz w:val="20"/>
                <w:szCs w:val="20"/>
              </w:rPr>
            </w:pPr>
            <w:r>
              <w:rPr>
                <w:rFonts w:hint="eastAsia" w:ascii="宋体" w:hAnsi="宋体" w:eastAsia="宋体"/>
                <w:sz w:val="20"/>
                <w:szCs w:val="20"/>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宋体" w:hAnsi="宋体" w:eastAsia="宋体"/>
                <w:sz w:val="20"/>
                <w:szCs w:val="20"/>
              </w:rPr>
            </w:pPr>
            <w:r>
              <w:rPr>
                <w:rFonts w:hint="eastAsia" w:ascii="宋体" w:hAnsi="宋体" w:eastAsia="宋体"/>
                <w:sz w:val="20"/>
                <w:szCs w:val="20"/>
              </w:rPr>
              <w:t>0</w:t>
            </w:r>
          </w:p>
        </w:tc>
      </w:tr>
    </w:tbl>
    <w:p>
      <w:pPr>
        <w:pStyle w:val="7"/>
        <w:shd w:val="clear" w:color="auto" w:fill="FFFFFF"/>
        <w:spacing w:before="0" w:beforeAutospacing="0" w:after="0" w:afterAutospacing="0" w:line="560" w:lineRule="exact"/>
        <w:ind w:firstLine="640"/>
        <w:jc w:val="both"/>
        <w:rPr>
          <w:rFonts w:ascii="黑体" w:hAnsi="黑体" w:eastAsia="黑体"/>
          <w:color w:val="000000"/>
          <w:sz w:val="32"/>
          <w:szCs w:val="32"/>
        </w:rPr>
      </w:pPr>
      <w:r>
        <w:rPr>
          <w:rFonts w:hint="eastAsia" w:ascii="黑体" w:hAnsi="黑体" w:eastAsia="黑体"/>
          <w:color w:val="000000"/>
          <w:sz w:val="32"/>
          <w:szCs w:val="32"/>
        </w:rPr>
        <w:t>四、政府信息公开行政复议、行政诉讼情况</w:t>
      </w:r>
    </w:p>
    <w:p>
      <w:pPr>
        <w:widowControl/>
        <w:jc w:val="center"/>
      </w:pP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sz w:val="20"/>
                <w:szCs w:val="20"/>
              </w:rPr>
            </w:pPr>
            <w:r>
              <w:rPr>
                <w:rFonts w:hint="eastAsia" w:ascii="宋体" w:hAnsi="宋体" w:eastAsia="宋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eastAsia="宋体"/>
                <w:sz w:val="20"/>
                <w:szCs w:val="20"/>
              </w:rPr>
            </w:pPr>
            <w:r>
              <w:rPr>
                <w:rFonts w:hint="eastAsia" w:ascii="宋体" w:hAnsi="宋体" w:eastAsia="宋体"/>
                <w:sz w:val="20"/>
                <w:szCs w:val="20"/>
              </w:rPr>
              <w:t>0</w:t>
            </w:r>
          </w:p>
        </w:tc>
      </w:tr>
    </w:tbl>
    <w:p>
      <w:pPr>
        <w:widowControl/>
        <w:jc w:val="left"/>
      </w:pPr>
    </w:p>
    <w:p>
      <w:pPr>
        <w:pStyle w:val="7"/>
        <w:shd w:val="clear" w:color="auto" w:fill="FFFFFF"/>
        <w:snapToGrid w:val="0"/>
        <w:spacing w:before="0" w:beforeAutospacing="0" w:after="0" w:afterAutospacing="0" w:line="560" w:lineRule="exact"/>
        <w:ind w:firstLine="692" w:firstLineChars="200"/>
        <w:jc w:val="both"/>
        <w:rPr>
          <w:rFonts w:ascii="黑体" w:hAnsi="黑体" w:eastAsia="黑体" w:cs="Helvetica"/>
          <w:spacing w:val="13"/>
          <w:sz w:val="32"/>
          <w:szCs w:val="32"/>
        </w:rPr>
      </w:pPr>
      <w:r>
        <w:rPr>
          <w:rFonts w:ascii="黑体" w:hAnsi="黑体" w:eastAsia="黑体" w:cs="Helvetica"/>
          <w:spacing w:val="13"/>
          <w:sz w:val="32"/>
          <w:szCs w:val="32"/>
        </w:rPr>
        <w:t>五、存在的主要问题及改进情况</w:t>
      </w:r>
    </w:p>
    <w:p>
      <w:pPr>
        <w:pStyle w:val="7"/>
        <w:shd w:val="clear" w:color="auto" w:fill="FFFFFF"/>
        <w:snapToGrid w:val="0"/>
        <w:spacing w:before="0" w:beforeAutospacing="0" w:after="0" w:afterAutospacing="0" w:line="560" w:lineRule="exact"/>
        <w:ind w:firstLine="692" w:firstLineChars="200"/>
        <w:jc w:val="both"/>
        <w:rPr>
          <w:rFonts w:ascii="楷体_GB2312" w:hAnsi="楷体" w:eastAsia="楷体_GB2312" w:cs="Helvetica"/>
          <w:spacing w:val="13"/>
          <w:sz w:val="32"/>
          <w:szCs w:val="32"/>
        </w:rPr>
      </w:pPr>
      <w:r>
        <w:rPr>
          <w:rFonts w:hint="eastAsia" w:ascii="楷体_GB2312" w:hAnsi="楷体" w:eastAsia="楷体_GB2312" w:cs="Helvetica"/>
          <w:spacing w:val="13"/>
          <w:sz w:val="32"/>
          <w:szCs w:val="32"/>
        </w:rPr>
        <w:t>（一）政府信息公开制度需要进一步完善</w:t>
      </w:r>
    </w:p>
    <w:p>
      <w:pPr>
        <w:pStyle w:val="7"/>
        <w:shd w:val="clear" w:color="auto" w:fill="FFFFFF"/>
        <w:snapToGrid w:val="0"/>
        <w:spacing w:before="0" w:beforeAutospacing="0" w:after="0" w:afterAutospacing="0" w:line="560" w:lineRule="exact"/>
        <w:ind w:firstLine="692" w:firstLineChars="200"/>
        <w:jc w:val="both"/>
        <w:rPr>
          <w:rFonts w:ascii="仿宋_GB2312" w:hAnsi="Helvetica" w:eastAsia="仿宋_GB2312" w:cs="Helvetica"/>
          <w:sz w:val="32"/>
          <w:szCs w:val="32"/>
        </w:rPr>
      </w:pPr>
      <w:r>
        <w:rPr>
          <w:rFonts w:hint="eastAsia" w:ascii="仿宋_GB2312" w:hAnsi="楷体" w:eastAsia="仿宋_GB2312" w:cs="Helvetica"/>
          <w:spacing w:val="13"/>
          <w:sz w:val="32"/>
          <w:szCs w:val="32"/>
        </w:rPr>
        <w:t>为进一步深化统计管理体制改革，加强机关制度建设，东城局队于2021年启动了内部规章制度的全面修订工</w:t>
      </w:r>
      <w:r>
        <w:rPr>
          <w:rFonts w:hint="eastAsia" w:ascii="仿宋_GB2312" w:hAnsi="Helvetica" w:eastAsia="仿宋_GB2312" w:cs="Helvetica"/>
          <w:sz w:val="32"/>
          <w:szCs w:val="32"/>
        </w:rPr>
        <w:t>作。政府信息和政务公开工作管理办法作为局队规章制度的重要组成部分，对指导局队各部门开展信息公开工作、规范工作流程、更好地服务社会公众，具有十分重要的指导作用。下一步，局队将以国家统计局印发的《统计领域基层政务公开标准指引》为指导，继续统筹做好统计系统政府信息与政务公开工作管理制度的修订工作，在严格贯彻落实</w:t>
      </w:r>
      <w:r>
        <w:rPr>
          <w:rFonts w:hint="eastAsia" w:ascii="仿宋_GB2312" w:hAnsi="Helvetica" w:eastAsia="仿宋_GB2312" w:cs="Helvetica"/>
          <w:spacing w:val="13"/>
          <w:sz w:val="32"/>
          <w:szCs w:val="32"/>
        </w:rPr>
        <w:t>《政府信息公开条例》、</w:t>
      </w:r>
      <w:r>
        <w:rPr>
          <w:rFonts w:hint="eastAsia" w:ascii="仿宋_GB2312" w:hAnsi="Helvetica" w:eastAsia="仿宋_GB2312" w:cs="Helvetica"/>
          <w:sz w:val="32"/>
          <w:szCs w:val="32"/>
        </w:rPr>
        <w:t>《统计领域基层政务公开标准指引》和市、区政务公开工作要点以及相关制度的基础上，结合局队工作实际，形成一套内容完备、流程规范、可操作性强的管理办法，为做好新时期政府统计信息与政务公开工作筑牢制度保障。</w:t>
      </w:r>
    </w:p>
    <w:p>
      <w:pPr>
        <w:pStyle w:val="7"/>
        <w:shd w:val="clear" w:color="auto" w:fill="FFFFFF"/>
        <w:snapToGrid w:val="0"/>
        <w:spacing w:before="0" w:beforeAutospacing="0" w:after="0" w:afterAutospacing="0" w:line="560" w:lineRule="exact"/>
        <w:ind w:firstLine="692" w:firstLineChars="200"/>
        <w:jc w:val="both"/>
        <w:rPr>
          <w:rFonts w:ascii="楷体_GB2312" w:hAnsi="楷体" w:eastAsia="楷体_GB2312" w:cs="Helvetica"/>
          <w:spacing w:val="13"/>
          <w:sz w:val="32"/>
          <w:szCs w:val="32"/>
        </w:rPr>
      </w:pPr>
      <w:r>
        <w:rPr>
          <w:rFonts w:hint="eastAsia" w:ascii="楷体_GB2312" w:hAnsi="楷体" w:eastAsia="楷体_GB2312" w:cs="Helvetica"/>
          <w:spacing w:val="13"/>
          <w:sz w:val="32"/>
          <w:szCs w:val="32"/>
        </w:rPr>
        <w:t>（二）政府信息公开业务培训需要进一步加强</w:t>
      </w:r>
    </w:p>
    <w:p>
      <w:pPr>
        <w:pStyle w:val="7"/>
        <w:shd w:val="clear" w:color="auto" w:fill="FFFFFF"/>
        <w:snapToGrid w:val="0"/>
        <w:spacing w:before="0" w:beforeAutospacing="0" w:after="0" w:afterAutospacing="0" w:line="560" w:lineRule="exact"/>
        <w:ind w:firstLine="692" w:firstLineChars="200"/>
        <w:jc w:val="both"/>
        <w:rPr>
          <w:rFonts w:ascii="仿宋_GB2312" w:hAnsi="Helvetica" w:eastAsia="仿宋_GB2312" w:cs="Helvetica"/>
          <w:spacing w:val="13"/>
          <w:sz w:val="32"/>
          <w:szCs w:val="32"/>
        </w:rPr>
      </w:pPr>
      <w:r>
        <w:rPr>
          <w:rFonts w:hint="eastAsia" w:ascii="仿宋_GB2312" w:hAnsi="Helvetica" w:eastAsia="仿宋_GB2312" w:cs="Helvetica"/>
          <w:spacing w:val="13"/>
          <w:sz w:val="32"/>
          <w:szCs w:val="32"/>
        </w:rPr>
        <w:t>2021年，东城局队在政府信息与政务公开业务培训方面存在培训范围不广、组织力度不够的问题。下一步，局队将进一步加强业务培训力度，要求相关科室负责人、工作人员积极参加区政务服务局组织的业务培训，有计划地组织开展局队内部自培，就《政府信息公开条例》、</w:t>
      </w:r>
      <w:r>
        <w:rPr>
          <w:rFonts w:hint="eastAsia" w:ascii="仿宋_GB2312" w:hAnsi="Helvetica" w:eastAsia="仿宋_GB2312" w:cs="Helvetica"/>
          <w:sz w:val="32"/>
          <w:szCs w:val="32"/>
        </w:rPr>
        <w:t>《统计领域基层政务公开标准指引》、</w:t>
      </w:r>
      <w:r>
        <w:rPr>
          <w:rFonts w:hint="eastAsia" w:ascii="仿宋_GB2312" w:hAnsi="Helvetica" w:eastAsia="仿宋_GB2312" w:cs="Helvetica"/>
          <w:spacing w:val="13"/>
          <w:sz w:val="32"/>
          <w:szCs w:val="32"/>
        </w:rPr>
        <w:t>年度市区政务公开工作要点、局队新修订的政府信息与政务公开工作管理方法等内容进行详细讲解培训，切实提高干部业务工作水平。</w:t>
      </w:r>
    </w:p>
    <w:p>
      <w:pPr>
        <w:pStyle w:val="7"/>
        <w:shd w:val="clear" w:color="auto" w:fill="FFFFFF"/>
        <w:snapToGrid w:val="0"/>
        <w:spacing w:before="0" w:beforeAutospacing="0" w:after="0" w:afterAutospacing="0" w:line="560" w:lineRule="exact"/>
        <w:ind w:firstLine="692" w:firstLineChars="200"/>
        <w:jc w:val="both"/>
        <w:rPr>
          <w:rFonts w:ascii="黑体" w:hAnsi="黑体" w:eastAsia="黑体" w:cs="Helvetica"/>
          <w:spacing w:val="13"/>
          <w:sz w:val="32"/>
          <w:szCs w:val="32"/>
        </w:rPr>
      </w:pPr>
      <w:r>
        <w:rPr>
          <w:rFonts w:hint="eastAsia" w:ascii="黑体" w:hAnsi="黑体" w:eastAsia="黑体" w:cs="Helvetica"/>
          <w:spacing w:val="13"/>
          <w:sz w:val="32"/>
          <w:szCs w:val="32"/>
        </w:rPr>
        <w:t>六</w:t>
      </w:r>
      <w:r>
        <w:rPr>
          <w:rFonts w:ascii="黑体" w:hAnsi="黑体" w:eastAsia="黑体" w:cs="Helvetica"/>
          <w:spacing w:val="13"/>
          <w:sz w:val="32"/>
          <w:szCs w:val="32"/>
        </w:rPr>
        <w:t>、</w:t>
      </w:r>
      <w:r>
        <w:rPr>
          <w:rFonts w:hint="eastAsia" w:ascii="黑体" w:hAnsi="黑体" w:eastAsia="黑体" w:cs="Helvetica"/>
          <w:spacing w:val="13"/>
          <w:sz w:val="32"/>
          <w:szCs w:val="32"/>
        </w:rPr>
        <w:t>其他需要报告的事项</w:t>
      </w:r>
    </w:p>
    <w:p>
      <w:pPr>
        <w:widowControl/>
        <w:snapToGrid w:val="0"/>
        <w:spacing w:line="560" w:lineRule="exact"/>
        <w:ind w:firstLine="692" w:firstLineChars="200"/>
        <w:rPr>
          <w:rFonts w:ascii="仿宋_GB2312" w:hAnsi="Helvetica" w:eastAsia="仿宋_GB2312" w:cs="Helvetica"/>
          <w:spacing w:val="13"/>
          <w:kern w:val="0"/>
          <w:sz w:val="32"/>
          <w:szCs w:val="32"/>
        </w:rPr>
      </w:pPr>
      <w:r>
        <w:rPr>
          <w:rFonts w:hint="eastAsia" w:ascii="仿宋_GB2312" w:hAnsi="Helvetica" w:eastAsia="仿宋_GB2312" w:cs="Helvetica"/>
          <w:spacing w:val="13"/>
          <w:kern w:val="0"/>
          <w:sz w:val="32"/>
          <w:szCs w:val="32"/>
        </w:rPr>
        <w:t>2021年，东城局队未发生信息处理费收取情况，发出收费通知的件数和总金额以及实际收取的总金额均为0。</w:t>
      </w:r>
    </w:p>
    <w:p>
      <w:pPr>
        <w:widowControl/>
        <w:snapToGrid w:val="0"/>
        <w:spacing w:line="560" w:lineRule="exact"/>
        <w:ind w:firstLine="692" w:firstLineChars="200"/>
        <w:rPr>
          <w:rFonts w:ascii="仿宋_GB2312" w:hAnsi="Helvetica" w:eastAsia="仿宋_GB2312" w:cs="Helvetica"/>
          <w:spacing w:val="13"/>
          <w:kern w:val="0"/>
          <w:sz w:val="32"/>
          <w:szCs w:val="32"/>
        </w:rPr>
      </w:pPr>
      <w:r>
        <w:rPr>
          <w:rFonts w:hint="eastAsia" w:ascii="仿宋_GB2312" w:hAnsi="Helvetica" w:eastAsia="仿宋_GB2312" w:cs="Helvetica"/>
          <w:spacing w:val="13"/>
          <w:kern w:val="0"/>
          <w:sz w:val="32"/>
          <w:szCs w:val="32"/>
        </w:rPr>
        <w:t>北京市东城区人民政府门户网站“数字东城”网址为</w:t>
      </w:r>
      <w:r>
        <w:rPr>
          <w:rFonts w:ascii="仿宋_GB2312" w:hAnsi="Helvetica" w:eastAsia="仿宋_GB2312" w:cs="Helvetica"/>
          <w:spacing w:val="13"/>
          <w:kern w:val="0"/>
          <w:sz w:val="32"/>
          <w:szCs w:val="32"/>
        </w:rPr>
        <w:t>http://</w:t>
      </w:r>
      <w:r>
        <w:rPr>
          <w:rFonts w:hint="eastAsia" w:ascii="仿宋_GB2312" w:hAnsi="Helvetica" w:eastAsia="仿宋_GB2312" w:cs="Helvetica"/>
          <w:spacing w:val="13"/>
          <w:kern w:val="0"/>
          <w:sz w:val="32"/>
          <w:szCs w:val="32"/>
        </w:rPr>
        <w:t>www.bjdch.gov.cn</w:t>
      </w:r>
      <w:r>
        <w:rPr>
          <w:rFonts w:ascii="仿宋_GB2312" w:hAnsi="Helvetica" w:eastAsia="仿宋_GB2312" w:cs="Helvetica"/>
          <w:spacing w:val="13"/>
          <w:kern w:val="0"/>
          <w:sz w:val="32"/>
          <w:szCs w:val="32"/>
        </w:rPr>
        <w:t>/</w:t>
      </w:r>
      <w:r>
        <w:rPr>
          <w:rFonts w:hint="eastAsia" w:ascii="仿宋_GB2312" w:hAnsi="Helvetica" w:eastAsia="仿宋_GB2312" w:cs="Helvetica"/>
          <w:spacing w:val="13"/>
          <w:kern w:val="0"/>
          <w:sz w:val="32"/>
          <w:szCs w:val="32"/>
        </w:rPr>
        <w:t>,如需了解更多政府信息，请登录查询。</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0156"/>
    </w:sdtPr>
    <w:sdtEndPr>
      <w:rPr>
        <w:rFonts w:ascii="宋体" w:hAnsi="宋体" w:eastAsia="宋体"/>
        <w:sz w:val="28"/>
        <w:szCs w:val="28"/>
      </w:rPr>
    </w:sdtEnd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4BE3"/>
    <w:rsid w:val="00006D62"/>
    <w:rsid w:val="0002367C"/>
    <w:rsid w:val="000238C0"/>
    <w:rsid w:val="00030F4A"/>
    <w:rsid w:val="00031606"/>
    <w:rsid w:val="00034478"/>
    <w:rsid w:val="00040ECF"/>
    <w:rsid w:val="0004605E"/>
    <w:rsid w:val="000510A2"/>
    <w:rsid w:val="00051823"/>
    <w:rsid w:val="0005564E"/>
    <w:rsid w:val="000735C1"/>
    <w:rsid w:val="00076F22"/>
    <w:rsid w:val="000779A9"/>
    <w:rsid w:val="00080CA0"/>
    <w:rsid w:val="000812FE"/>
    <w:rsid w:val="00085CE4"/>
    <w:rsid w:val="00086D4F"/>
    <w:rsid w:val="000935A2"/>
    <w:rsid w:val="000A7EF0"/>
    <w:rsid w:val="000B586E"/>
    <w:rsid w:val="000C3DF0"/>
    <w:rsid w:val="000F4252"/>
    <w:rsid w:val="000F4BFB"/>
    <w:rsid w:val="0011106B"/>
    <w:rsid w:val="00115E6D"/>
    <w:rsid w:val="001162D6"/>
    <w:rsid w:val="0013127B"/>
    <w:rsid w:val="001347CF"/>
    <w:rsid w:val="0013627C"/>
    <w:rsid w:val="00145437"/>
    <w:rsid w:val="00155EA8"/>
    <w:rsid w:val="00164184"/>
    <w:rsid w:val="00164B32"/>
    <w:rsid w:val="00164C7B"/>
    <w:rsid w:val="0016528A"/>
    <w:rsid w:val="0017685C"/>
    <w:rsid w:val="00177211"/>
    <w:rsid w:val="001805DD"/>
    <w:rsid w:val="00195B6F"/>
    <w:rsid w:val="00197896"/>
    <w:rsid w:val="001A6115"/>
    <w:rsid w:val="001C6C1B"/>
    <w:rsid w:val="001C7FFC"/>
    <w:rsid w:val="001D2F35"/>
    <w:rsid w:val="001D6738"/>
    <w:rsid w:val="001D6D4A"/>
    <w:rsid w:val="001D7B78"/>
    <w:rsid w:val="001E0860"/>
    <w:rsid w:val="001E3230"/>
    <w:rsid w:val="001F49FA"/>
    <w:rsid w:val="0021265E"/>
    <w:rsid w:val="00217F51"/>
    <w:rsid w:val="00220115"/>
    <w:rsid w:val="00222F15"/>
    <w:rsid w:val="002273AA"/>
    <w:rsid w:val="00252992"/>
    <w:rsid w:val="00263225"/>
    <w:rsid w:val="00264FB7"/>
    <w:rsid w:val="00270F21"/>
    <w:rsid w:val="002A7432"/>
    <w:rsid w:val="002C62C0"/>
    <w:rsid w:val="002C636B"/>
    <w:rsid w:val="002D269E"/>
    <w:rsid w:val="002D46AF"/>
    <w:rsid w:val="002E7DF9"/>
    <w:rsid w:val="002E7F8E"/>
    <w:rsid w:val="002F0DA3"/>
    <w:rsid w:val="002F4634"/>
    <w:rsid w:val="003052C9"/>
    <w:rsid w:val="00310CFE"/>
    <w:rsid w:val="00312F9F"/>
    <w:rsid w:val="00317C5B"/>
    <w:rsid w:val="0032308A"/>
    <w:rsid w:val="00330F0C"/>
    <w:rsid w:val="0033731D"/>
    <w:rsid w:val="00340AED"/>
    <w:rsid w:val="003431B7"/>
    <w:rsid w:val="0034349F"/>
    <w:rsid w:val="00345D80"/>
    <w:rsid w:val="00347235"/>
    <w:rsid w:val="00347652"/>
    <w:rsid w:val="0035524D"/>
    <w:rsid w:val="003572C8"/>
    <w:rsid w:val="00360648"/>
    <w:rsid w:val="0036467F"/>
    <w:rsid w:val="00372291"/>
    <w:rsid w:val="003771F9"/>
    <w:rsid w:val="00387E36"/>
    <w:rsid w:val="00393438"/>
    <w:rsid w:val="003B18FC"/>
    <w:rsid w:val="003B34CA"/>
    <w:rsid w:val="003C0563"/>
    <w:rsid w:val="003C2DB2"/>
    <w:rsid w:val="003C5E1E"/>
    <w:rsid w:val="003C7282"/>
    <w:rsid w:val="003C7842"/>
    <w:rsid w:val="003D0179"/>
    <w:rsid w:val="003E28D6"/>
    <w:rsid w:val="0040002A"/>
    <w:rsid w:val="00401113"/>
    <w:rsid w:val="00404707"/>
    <w:rsid w:val="004052A6"/>
    <w:rsid w:val="0041069B"/>
    <w:rsid w:val="00414C5F"/>
    <w:rsid w:val="00420B6B"/>
    <w:rsid w:val="00423E8D"/>
    <w:rsid w:val="004351A0"/>
    <w:rsid w:val="00443B82"/>
    <w:rsid w:val="00455BDE"/>
    <w:rsid w:val="004607A6"/>
    <w:rsid w:val="00460A7C"/>
    <w:rsid w:val="00463850"/>
    <w:rsid w:val="00475025"/>
    <w:rsid w:val="00481B78"/>
    <w:rsid w:val="00482778"/>
    <w:rsid w:val="004861E8"/>
    <w:rsid w:val="004915AB"/>
    <w:rsid w:val="00494BB2"/>
    <w:rsid w:val="004969B4"/>
    <w:rsid w:val="004A06DD"/>
    <w:rsid w:val="004A3F9C"/>
    <w:rsid w:val="004A40BC"/>
    <w:rsid w:val="004B3C5A"/>
    <w:rsid w:val="004B652B"/>
    <w:rsid w:val="004B77DC"/>
    <w:rsid w:val="004C224C"/>
    <w:rsid w:val="004C5E19"/>
    <w:rsid w:val="004D1250"/>
    <w:rsid w:val="004D1F58"/>
    <w:rsid w:val="004E04F9"/>
    <w:rsid w:val="004E3777"/>
    <w:rsid w:val="005022E4"/>
    <w:rsid w:val="00511D65"/>
    <w:rsid w:val="0052001D"/>
    <w:rsid w:val="00533122"/>
    <w:rsid w:val="00536B37"/>
    <w:rsid w:val="00536B97"/>
    <w:rsid w:val="005450C5"/>
    <w:rsid w:val="00546E0B"/>
    <w:rsid w:val="00547E11"/>
    <w:rsid w:val="005509A7"/>
    <w:rsid w:val="00551A48"/>
    <w:rsid w:val="0055209A"/>
    <w:rsid w:val="005654AB"/>
    <w:rsid w:val="00576AF8"/>
    <w:rsid w:val="0058201F"/>
    <w:rsid w:val="00582BA1"/>
    <w:rsid w:val="005A1CA9"/>
    <w:rsid w:val="005A23E2"/>
    <w:rsid w:val="005B4F89"/>
    <w:rsid w:val="005B66ED"/>
    <w:rsid w:val="005B7C8E"/>
    <w:rsid w:val="005C6080"/>
    <w:rsid w:val="005D7215"/>
    <w:rsid w:val="005E108D"/>
    <w:rsid w:val="005E2D88"/>
    <w:rsid w:val="005E5F3C"/>
    <w:rsid w:val="005F321D"/>
    <w:rsid w:val="005F6113"/>
    <w:rsid w:val="005F78A8"/>
    <w:rsid w:val="00600985"/>
    <w:rsid w:val="00604CE3"/>
    <w:rsid w:val="00611BCD"/>
    <w:rsid w:val="00615044"/>
    <w:rsid w:val="006209C7"/>
    <w:rsid w:val="00635662"/>
    <w:rsid w:val="006357A3"/>
    <w:rsid w:val="0065379B"/>
    <w:rsid w:val="00672C48"/>
    <w:rsid w:val="006750C9"/>
    <w:rsid w:val="00676504"/>
    <w:rsid w:val="00680BEC"/>
    <w:rsid w:val="00682E2C"/>
    <w:rsid w:val="00695073"/>
    <w:rsid w:val="006B307C"/>
    <w:rsid w:val="00703677"/>
    <w:rsid w:val="007106C0"/>
    <w:rsid w:val="00714B73"/>
    <w:rsid w:val="00720962"/>
    <w:rsid w:val="00727E7C"/>
    <w:rsid w:val="00776EC9"/>
    <w:rsid w:val="007855FF"/>
    <w:rsid w:val="007936B0"/>
    <w:rsid w:val="00794956"/>
    <w:rsid w:val="00794C1C"/>
    <w:rsid w:val="007A3FBB"/>
    <w:rsid w:val="007A5266"/>
    <w:rsid w:val="007A5C5F"/>
    <w:rsid w:val="007A5D6B"/>
    <w:rsid w:val="007C0A21"/>
    <w:rsid w:val="007C2499"/>
    <w:rsid w:val="007C41E6"/>
    <w:rsid w:val="007C4BE3"/>
    <w:rsid w:val="007C7252"/>
    <w:rsid w:val="007F2E92"/>
    <w:rsid w:val="00825305"/>
    <w:rsid w:val="00836CD6"/>
    <w:rsid w:val="008420B6"/>
    <w:rsid w:val="00853C09"/>
    <w:rsid w:val="00854D1F"/>
    <w:rsid w:val="0086182A"/>
    <w:rsid w:val="00864D67"/>
    <w:rsid w:val="00874B11"/>
    <w:rsid w:val="00893804"/>
    <w:rsid w:val="008B3360"/>
    <w:rsid w:val="008B56AB"/>
    <w:rsid w:val="008D3110"/>
    <w:rsid w:val="008D3D43"/>
    <w:rsid w:val="008E5C11"/>
    <w:rsid w:val="008F57F9"/>
    <w:rsid w:val="008F6810"/>
    <w:rsid w:val="00904B4E"/>
    <w:rsid w:val="009053C6"/>
    <w:rsid w:val="009153E2"/>
    <w:rsid w:val="00920B73"/>
    <w:rsid w:val="00923042"/>
    <w:rsid w:val="00926B61"/>
    <w:rsid w:val="0094581A"/>
    <w:rsid w:val="009474E1"/>
    <w:rsid w:val="009548B4"/>
    <w:rsid w:val="0095644B"/>
    <w:rsid w:val="00961A96"/>
    <w:rsid w:val="00984169"/>
    <w:rsid w:val="00985405"/>
    <w:rsid w:val="009B1540"/>
    <w:rsid w:val="009B5B64"/>
    <w:rsid w:val="009C130F"/>
    <w:rsid w:val="009C3B83"/>
    <w:rsid w:val="009D269B"/>
    <w:rsid w:val="009E1728"/>
    <w:rsid w:val="009E54E4"/>
    <w:rsid w:val="009F0DC6"/>
    <w:rsid w:val="009F310D"/>
    <w:rsid w:val="009F6CED"/>
    <w:rsid w:val="00A21B6B"/>
    <w:rsid w:val="00A26B9F"/>
    <w:rsid w:val="00A40E36"/>
    <w:rsid w:val="00A42663"/>
    <w:rsid w:val="00A46ABB"/>
    <w:rsid w:val="00A514E1"/>
    <w:rsid w:val="00A57029"/>
    <w:rsid w:val="00A72AFB"/>
    <w:rsid w:val="00A76096"/>
    <w:rsid w:val="00A8641B"/>
    <w:rsid w:val="00A9119D"/>
    <w:rsid w:val="00A954BB"/>
    <w:rsid w:val="00A96FF3"/>
    <w:rsid w:val="00AA1040"/>
    <w:rsid w:val="00AA3598"/>
    <w:rsid w:val="00AB47A8"/>
    <w:rsid w:val="00AB6A14"/>
    <w:rsid w:val="00AD4B7B"/>
    <w:rsid w:val="00AD718D"/>
    <w:rsid w:val="00AE0CEA"/>
    <w:rsid w:val="00AE2324"/>
    <w:rsid w:val="00AE2FE0"/>
    <w:rsid w:val="00AE47B3"/>
    <w:rsid w:val="00AE5B70"/>
    <w:rsid w:val="00AF4D8E"/>
    <w:rsid w:val="00AF5310"/>
    <w:rsid w:val="00B067B9"/>
    <w:rsid w:val="00B07E4A"/>
    <w:rsid w:val="00B1443E"/>
    <w:rsid w:val="00B2467E"/>
    <w:rsid w:val="00B251E9"/>
    <w:rsid w:val="00B2638D"/>
    <w:rsid w:val="00B303B3"/>
    <w:rsid w:val="00B52E06"/>
    <w:rsid w:val="00B53172"/>
    <w:rsid w:val="00B67E05"/>
    <w:rsid w:val="00B83DAE"/>
    <w:rsid w:val="00B91106"/>
    <w:rsid w:val="00B92E18"/>
    <w:rsid w:val="00B955AA"/>
    <w:rsid w:val="00B97053"/>
    <w:rsid w:val="00B97FF3"/>
    <w:rsid w:val="00BA362D"/>
    <w:rsid w:val="00BA53C9"/>
    <w:rsid w:val="00BB4536"/>
    <w:rsid w:val="00BC4011"/>
    <w:rsid w:val="00BC44FE"/>
    <w:rsid w:val="00BD7828"/>
    <w:rsid w:val="00BE0243"/>
    <w:rsid w:val="00C02409"/>
    <w:rsid w:val="00C32D66"/>
    <w:rsid w:val="00C3789A"/>
    <w:rsid w:val="00C40954"/>
    <w:rsid w:val="00C63DCB"/>
    <w:rsid w:val="00C71FDE"/>
    <w:rsid w:val="00C73430"/>
    <w:rsid w:val="00C74351"/>
    <w:rsid w:val="00C7508E"/>
    <w:rsid w:val="00C7554F"/>
    <w:rsid w:val="00C82B9F"/>
    <w:rsid w:val="00C91007"/>
    <w:rsid w:val="00C9600D"/>
    <w:rsid w:val="00CA297B"/>
    <w:rsid w:val="00CA5CEE"/>
    <w:rsid w:val="00CB6A48"/>
    <w:rsid w:val="00CC13A9"/>
    <w:rsid w:val="00CC709B"/>
    <w:rsid w:val="00CC7109"/>
    <w:rsid w:val="00CE4593"/>
    <w:rsid w:val="00CF3E83"/>
    <w:rsid w:val="00D02769"/>
    <w:rsid w:val="00D145F8"/>
    <w:rsid w:val="00D14CB1"/>
    <w:rsid w:val="00D1535C"/>
    <w:rsid w:val="00D26D47"/>
    <w:rsid w:val="00D33229"/>
    <w:rsid w:val="00D406F0"/>
    <w:rsid w:val="00D608A6"/>
    <w:rsid w:val="00D62192"/>
    <w:rsid w:val="00D82C9B"/>
    <w:rsid w:val="00D9338E"/>
    <w:rsid w:val="00D9386D"/>
    <w:rsid w:val="00D9724F"/>
    <w:rsid w:val="00DA434A"/>
    <w:rsid w:val="00DA6232"/>
    <w:rsid w:val="00DB06F0"/>
    <w:rsid w:val="00DC2215"/>
    <w:rsid w:val="00DC6E0C"/>
    <w:rsid w:val="00DD280D"/>
    <w:rsid w:val="00DD30E8"/>
    <w:rsid w:val="00DE41EF"/>
    <w:rsid w:val="00DE71A1"/>
    <w:rsid w:val="00DF226C"/>
    <w:rsid w:val="00E06850"/>
    <w:rsid w:val="00E07D40"/>
    <w:rsid w:val="00E16C69"/>
    <w:rsid w:val="00E24124"/>
    <w:rsid w:val="00E25CAF"/>
    <w:rsid w:val="00E26909"/>
    <w:rsid w:val="00E33F24"/>
    <w:rsid w:val="00E371BB"/>
    <w:rsid w:val="00E61FD3"/>
    <w:rsid w:val="00E63691"/>
    <w:rsid w:val="00E67EB0"/>
    <w:rsid w:val="00E67F58"/>
    <w:rsid w:val="00E74316"/>
    <w:rsid w:val="00E761E2"/>
    <w:rsid w:val="00E76C2C"/>
    <w:rsid w:val="00E86384"/>
    <w:rsid w:val="00E95D60"/>
    <w:rsid w:val="00EA2FFD"/>
    <w:rsid w:val="00EA480C"/>
    <w:rsid w:val="00EB3EE0"/>
    <w:rsid w:val="00EB450E"/>
    <w:rsid w:val="00EC5982"/>
    <w:rsid w:val="00ED28A1"/>
    <w:rsid w:val="00ED35F6"/>
    <w:rsid w:val="00EE6641"/>
    <w:rsid w:val="00EF1685"/>
    <w:rsid w:val="00F144E1"/>
    <w:rsid w:val="00F20FDF"/>
    <w:rsid w:val="00F217B3"/>
    <w:rsid w:val="00F23B1E"/>
    <w:rsid w:val="00F32EEE"/>
    <w:rsid w:val="00F50A95"/>
    <w:rsid w:val="00F54ADC"/>
    <w:rsid w:val="00F55035"/>
    <w:rsid w:val="00F74A77"/>
    <w:rsid w:val="00F8570D"/>
    <w:rsid w:val="00F92312"/>
    <w:rsid w:val="00FA5DC8"/>
    <w:rsid w:val="00FA6E9F"/>
    <w:rsid w:val="00FB65C7"/>
    <w:rsid w:val="00FC6B68"/>
    <w:rsid w:val="00FD0C96"/>
    <w:rsid w:val="00FD1004"/>
    <w:rsid w:val="00FD1C58"/>
    <w:rsid w:val="00FF0E52"/>
    <w:rsid w:val="00FF13AF"/>
    <w:rsid w:val="00FF13E5"/>
    <w:rsid w:val="00FF3F9E"/>
    <w:rsid w:val="114D6DDB"/>
    <w:rsid w:val="22DD152E"/>
    <w:rsid w:val="49A70FA7"/>
    <w:rsid w:val="60F91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3"/>
    <w:qFormat/>
    <w:uiPriority w:val="99"/>
    <w:rPr>
      <w:rFonts w:ascii="宋体" w:hAnsi="Courier New" w:eastAsia="宋体" w:cs="Times New Roman"/>
      <w:szCs w:val="21"/>
    </w:rPr>
  </w:style>
  <w:style w:type="paragraph" w:styleId="4">
    <w:name w:val="Balloon Text"/>
    <w:basedOn w:val="1"/>
    <w:link w:val="16"/>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纯文本 Char"/>
    <w:basedOn w:val="8"/>
    <w:link w:val="3"/>
    <w:uiPriority w:val="99"/>
    <w:rPr>
      <w:rFonts w:ascii="宋体" w:hAnsi="Courier New" w:eastAsia="宋体" w:cs="Times New Roman"/>
      <w:szCs w:val="21"/>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customStyle="1" w:styleId="15">
    <w:name w:val="列出段落1"/>
    <w:basedOn w:val="1"/>
    <w:qFormat/>
    <w:uiPriority w:val="34"/>
    <w:pPr>
      <w:ind w:firstLine="420" w:firstLineChars="200"/>
    </w:pPr>
  </w:style>
  <w:style w:type="character" w:customStyle="1" w:styleId="16">
    <w:name w:val="批注框文本 Char"/>
    <w:basedOn w:val="8"/>
    <w:link w:val="4"/>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465</Words>
  <Characters>2656</Characters>
  <Lines>22</Lines>
  <Paragraphs>6</Paragraphs>
  <TotalTime>0</TotalTime>
  <ScaleCrop>false</ScaleCrop>
  <LinksUpToDate>false</LinksUpToDate>
  <CharactersWithSpaces>3115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2021-12-08T06:22:00Z</dcterms:created>
  <dc:creator>王莹</dc:creator>
  <cp:lastModifiedBy>张祯宜</cp:lastModifiedBy>
  <cp:lastPrinted>2022-01-10T01:53:00Z</cp:lastPrinted>
  <dcterms:modified xsi:type="dcterms:W3CDTF">2022-01-20T02:52:30Z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