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北京市东城区人民政府东四街道办事处2021年政府信息公开工作年度报告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pPr>
      <w:r>
        <w:rPr>
          <w:rFonts w:hint="eastAsia" w:ascii="仿宋_GB2312" w:hAnsi="宋体" w:eastAsia="仿宋_GB2312" w:cs="宋体"/>
          <w:spacing w:val="8"/>
          <w:kern w:val="0"/>
          <w:sz w:val="32"/>
          <w:szCs w:val="32"/>
        </w:rPr>
        <w:t>2021年，东四街道根据</w:t>
      </w:r>
      <w:r>
        <w:rPr>
          <w:rFonts w:hint="eastAsia" w:ascii="仿宋_GB2312" w:hAnsi="宋体" w:eastAsia="仿宋_GB2312" w:cs="宋体"/>
          <w:spacing w:val="8"/>
          <w:kern w:val="0"/>
          <w:sz w:val="32"/>
          <w:szCs w:val="32"/>
          <w:lang w:eastAsia="zh-CN"/>
        </w:rPr>
        <w:t>《中华人民共和国政府信息公开条例》</w:t>
      </w:r>
      <w:r>
        <w:rPr>
          <w:rFonts w:hint="eastAsia" w:ascii="仿宋_GB2312" w:hAnsi="宋体" w:eastAsia="仿宋_GB2312" w:cs="宋体"/>
          <w:spacing w:val="8"/>
          <w:kern w:val="0"/>
          <w:sz w:val="32"/>
          <w:szCs w:val="32"/>
        </w:rPr>
        <w:t>要求开展政府信息公开工作，严格落实《东四街道政府信息公开实施细则》、《政府信息公开发布制度》等工作制度要求，规范信息公开工作流程，不断加大公开力度。</w:t>
      </w:r>
    </w:p>
    <w:p>
      <w:pPr>
        <w:pStyle w:val="6"/>
        <w:widowControl/>
        <w:overflowPunct w:val="0"/>
        <w:topLinePunct/>
        <w:spacing w:before="0" w:beforeAutospacing="0" w:after="0" w:afterAutospacing="0" w:line="560" w:lineRule="exact"/>
        <w:ind w:firstLine="672" w:firstLineChars="200"/>
        <w:rPr>
          <w:rFonts w:ascii="黑体" w:hAnsi="黑体" w:eastAsia="黑体" w:cs="黑体"/>
          <w:spacing w:val="8"/>
          <w:sz w:val="32"/>
          <w:szCs w:val="32"/>
        </w:rPr>
      </w:pPr>
      <w:r>
        <w:rPr>
          <w:rFonts w:hint="eastAsia" w:ascii="黑体" w:hAnsi="黑体" w:eastAsia="黑体" w:cs="黑体"/>
          <w:spacing w:val="8"/>
          <w:sz w:val="32"/>
          <w:szCs w:val="32"/>
        </w:rPr>
        <w:t>（一）围绕“十四五”规划，推进全流程全过程公开</w:t>
      </w:r>
    </w:p>
    <w:p>
      <w:pPr>
        <w:pStyle w:val="6"/>
        <w:widowControl/>
        <w:overflowPunct w:val="0"/>
        <w:topLinePunct/>
        <w:spacing w:before="0" w:beforeAutospacing="0" w:after="0" w:afterAutospacing="0" w:line="560" w:lineRule="exact"/>
        <w:ind w:firstLine="672" w:firstLineChars="200"/>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民生保障信息公开：按月、季度做好2021年重要民生实事项目信息公开工作，2021年东四街道对辖区内低保、特困、高等教育补助、医疗救助、临时救助人数以及资金支付情况信息进行公开。稳步扩大预决算公开范围，按时公开2021年财政预算信息和2020年财政决算信息。</w:t>
      </w:r>
    </w:p>
    <w:p>
      <w:pPr>
        <w:pStyle w:val="6"/>
        <w:widowControl/>
        <w:spacing w:before="0" w:beforeAutospacing="0" w:after="0" w:afterAutospacing="0"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（二）聚焦优化营商环境，提升政策全流程服务</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1.实现政策咨询便利化</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东四街道便民服务大厅和社区居委会服务站设立文件索取台、电子触摸屏等提供相关政策信息，使居民获取各类业务办理须知、流程和电话的纸质材料。优化面向群众的咨询互动平台，提供智能、及时的政务问答服务。加强对外公开的联系电话检查，确保联系电话畅通有效。</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2.实现政策精准推送</w:t>
      </w:r>
    </w:p>
    <w:p>
      <w:pPr>
        <w:pStyle w:val="6"/>
        <w:widowControl/>
        <w:spacing w:before="0" w:beforeAutospacing="0" w:after="0" w:afterAutospacing="0" w:line="560" w:lineRule="exact"/>
        <w:ind w:firstLine="672" w:firstLineChars="200"/>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2021年，东四街道通过多渠道开展信息公开工作，通过微信公众号“掌上东四”、“数字东城”网站东四街道栏目、北京市政府信息公开专栏等方式主动公开信息，全面提升群众对政府工作的了解度、参与感和满意度。</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3.推进公众参与互动常态化</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举办东四街道政务开放日，为群众提供相关法律、政策的宣讲，提高人民群众依法维权能力，有序引导群众参与城市管理和基层治理。</w:t>
      </w:r>
    </w:p>
    <w:p>
      <w:pPr>
        <w:pStyle w:val="6"/>
        <w:widowControl/>
        <w:spacing w:before="0" w:beforeAutospacing="0" w:after="0" w:afterAutospacing="0"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（三）围绕数字政务平台建设，加强政务信息全链条管理</w:t>
      </w:r>
    </w:p>
    <w:p>
      <w:pPr>
        <w:pStyle w:val="6"/>
        <w:widowControl/>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1.推进政府信息公开平台建设</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做好2021年东四街道年报编辑公开工作，积极报送本单位主动公开信息，利用新媒体渠道扩大东四街道年报数字化传播。强化平台内容保障，根据政府网站信息发布、服务提升等工作需要，做好信息发布、内容审核工作。深化</w:t>
      </w:r>
      <w:r>
        <w:rPr>
          <w:rFonts w:ascii="仿宋_GB2312" w:hAnsi="仿宋_GB2312" w:eastAsia="仿宋_GB2312" w:cs="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领导</w:t>
      </w:r>
      <w:r>
        <w:rPr>
          <w:rFonts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，履行各</w:t>
      </w:r>
      <w:r>
        <w:rPr>
          <w:rFonts w:ascii="仿宋_GB2312" w:hAnsi="仿宋_GB2312" w:eastAsia="仿宋_GB2312" w:cs="仿宋_GB2312"/>
          <w:color w:val="000000" w:themeColor="text1"/>
          <w:sz w:val="32"/>
          <w:szCs w:val="32"/>
          <w14:textFill>
            <w14:solidFill>
              <w14:schemeClr w14:val="tx1"/>
            </w14:solidFill>
          </w14:textFill>
        </w:rPr>
        <w:t>部门职责，</w:t>
      </w:r>
      <w:r>
        <w:rPr>
          <w:rFonts w:hint="eastAsia" w:ascii="仿宋_GB2312" w:hAnsi="仿宋_GB2312" w:eastAsia="仿宋_GB2312" w:cs="仿宋_GB2312"/>
          <w:color w:val="000000" w:themeColor="text1"/>
          <w:sz w:val="32"/>
          <w:szCs w:val="32"/>
          <w14:textFill>
            <w14:solidFill>
              <w14:schemeClr w14:val="tx1"/>
            </w14:solidFill>
          </w14:textFill>
        </w:rPr>
        <w:t>加强政府网站内容建设检查，确保信息发布更新及时，切实把好政治关、政策关、内容关。开展政务新媒体清理整合规范，整治“指尖上的形式主义”。</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2.依法履行政府信息公开法定义务</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依法依规办理政府信息公开申请，东四街道</w:t>
      </w:r>
      <w:r>
        <w:rPr>
          <w:rFonts w:hint="eastAsia" w:ascii="仿宋_GB2312" w:hAnsi="仿宋_GB2312" w:eastAsia="仿宋_GB2312" w:cs="仿宋_GB2312"/>
          <w:color w:val="000000" w:themeColor="text1"/>
          <w:spacing w:val="8"/>
          <w:sz w:val="32"/>
          <w:szCs w:val="32"/>
          <w14:textFill>
            <w14:solidFill>
              <w14:schemeClr w14:val="tx1"/>
            </w14:solidFill>
          </w14:textFill>
        </w:rPr>
        <w:t>受理办理依申请公开2条，并按照《中华人民共和国政府信息公开条例》和《北京市政府信息公开规定》规定进行答复，</w:t>
      </w:r>
      <w:r>
        <w:rPr>
          <w:rFonts w:hint="eastAsia" w:ascii="仿宋_GB2312" w:hAnsi="仿宋_GB2312" w:eastAsia="仿宋_GB2312" w:cs="仿宋_GB2312"/>
          <w:color w:val="000000" w:themeColor="text1"/>
          <w:sz w:val="32"/>
          <w:szCs w:val="32"/>
          <w14:textFill>
            <w14:solidFill>
              <w14:schemeClr w14:val="tx1"/>
            </w14:solidFill>
          </w14:textFill>
        </w:rPr>
        <w:t>确保申请渠道畅通，法定答复时限准确。做好街道信息公开信息处理收费实施工作，严格依照规定的标准、程序、方式计收信息处理费。</w:t>
      </w:r>
    </w:p>
    <w:p>
      <w:pPr>
        <w:pStyle w:val="6"/>
        <w:widowControl/>
        <w:numPr>
          <w:ilvl w:val="0"/>
          <w:numId w:val="1"/>
        </w:numPr>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推进政府信息管理规范化建设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强化政府网站作为政务公开第一平台的功能，按照统一公开标准，2021年东四街道</w:t>
      </w:r>
      <w:r>
        <w:rPr>
          <w:rFonts w:hint="eastAsia" w:ascii="仿宋_GB2312" w:hAnsi="仿宋_GB2312" w:eastAsia="仿宋_GB2312" w:cs="仿宋_GB2312"/>
          <w:color w:val="000000" w:themeColor="text1"/>
          <w:spacing w:val="8"/>
          <w:kern w:val="0"/>
          <w:sz w:val="32"/>
          <w:szCs w:val="32"/>
          <w14:textFill>
            <w14:solidFill>
              <w14:schemeClr w14:val="tx1"/>
            </w14:solidFill>
          </w14:textFill>
        </w:rPr>
        <w:t>主动公开国民经济和社会发展规划、专项规划等相关政策；及时公开辖区内突发事件的应对情况和涉及环境保护、安全生产方面的监督检查情况；及时更新办事处机关职能、机构设置、办公地址、办公时间、联系方式、领导职务；及时公开各部门活动信息、执法信息、重点领域社会救助情况。</w:t>
      </w:r>
      <w:r>
        <w:rPr>
          <w:rFonts w:hint="eastAsia" w:ascii="仿宋_GB2312" w:hAnsi="仿宋_GB2312" w:eastAsia="仿宋_GB2312" w:cs="仿宋_GB2312"/>
          <w:color w:val="000000" w:themeColor="text1"/>
          <w:sz w:val="32"/>
          <w:szCs w:val="32"/>
          <w14:textFill>
            <w14:solidFill>
              <w14:schemeClr w14:val="tx1"/>
            </w14:solidFill>
          </w14:textFill>
        </w:rPr>
        <w:t>东四街道在便民服务中心及综合办公室设立标识清楚、方便实用的政务公开窗口，提供政策查询、信息公开申请、咨询等服务。</w:t>
      </w:r>
    </w:p>
    <w:p>
      <w:pPr>
        <w:pStyle w:val="6"/>
        <w:widowControl/>
        <w:numPr>
          <w:ilvl w:val="0"/>
          <w:numId w:val="1"/>
        </w:numPr>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加强教育培训，严格监督保障</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队伍建设，抓好教育培训，重点围绕贯彻落实《政府信息公开条例》，灵活采取线下集中授课、点对点指导、视频会议、线上答疑等多种方式加强业务培训。加强监督考核，东四街道政府信息公开工作领导小组负责检查政府信息公开工作，开展对各科（所）报送政府信息的统计、考核和评比工作，考核评比结果纳入年底政府信息公开工作的考核内容。</w:t>
      </w: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6"/>
        <w:widowControl/>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spacing w:line="560" w:lineRule="exact"/>
      </w:pPr>
    </w:p>
    <w:tbl>
      <w:tblPr>
        <w:tblStyle w:val="7"/>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rPr>
            </w:pPr>
            <w:r>
              <w:rPr>
                <w:rFonts w:hint="eastAsia" w:ascii="Calibri" w:hAnsi="Calibri" w:cs="Calibri"/>
                <w:kern w:val="0"/>
              </w:rPr>
              <w:t>　558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rPr>
            </w:pPr>
            <w:r>
              <w:rPr>
                <w:rFonts w:hint="eastAsia" w:ascii="Calibri" w:hAnsi="Calibri" w:cs="Calibri"/>
                <w:kern w:val="0"/>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ascii="宋体"/>
                <w:sz w:val="24"/>
                <w:szCs w:val="24"/>
              </w:rPr>
            </w:pPr>
            <w:r>
              <w:rPr>
                <w:rFonts w:hint="eastAsia" w:ascii="宋体"/>
                <w:sz w:val="24"/>
                <w:szCs w:val="24"/>
              </w:rPr>
              <w:t>0</w:t>
            </w:r>
          </w:p>
        </w:tc>
      </w:tr>
    </w:tbl>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shd w:val="clear" w:color="auto" w:fill="FFFFFF"/>
        <w:spacing w:before="0" w:beforeAutospacing="0" w:after="0" w:afterAutospacing="0" w:line="560" w:lineRule="exact"/>
        <w:ind w:firstLine="420"/>
        <w:jc w:val="both"/>
        <w:rPr>
          <w:rFonts w:ascii="宋体" w:hAnsi="宋体" w:cs="宋体"/>
          <w:color w:val="333333"/>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6"/>
        <w:gridCol w:w="3217"/>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line="560" w:lineRule="exact"/>
              <w:jc w:val="left"/>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spacing w:line="560" w:lineRule="exact"/>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商业</w:t>
            </w:r>
          </w:p>
          <w:p>
            <w:pPr>
              <w:widowControl/>
              <w:spacing w:line="560" w:lineRule="exact"/>
              <w:jc w:val="cente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科研</w:t>
            </w:r>
          </w:p>
          <w:p>
            <w:pPr>
              <w:widowControl/>
              <w:spacing w:line="560" w:lineRule="exact"/>
              <w:jc w:val="cente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spacing w:line="560" w:lineRule="exact"/>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ascii="Calibri" w:hAnsi="Calibri" w:cs="Calibri"/>
                <w:kern w:val="0"/>
                <w:sz w:val="20"/>
                <w:szCs w:val="20"/>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ascii="Calibri" w:hAnsi="Calibri" w:cs="Calibri"/>
                <w:kern w:val="0"/>
                <w:sz w:val="20"/>
                <w:szCs w:val="2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ascii="Calibri" w:hAnsi="Calibri"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ascii="Calibri" w:hAnsi="Calibri"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（三）不予公开</w:t>
            </w: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（四）无法提供</w:t>
            </w: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ascii="Calibri" w:hAnsi="Calibri"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ascii="Calibri" w:hAnsi="Calibri"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（五）不予处理</w:t>
            </w: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exact"/>
              <w:jc w:val="left"/>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pPr>
            <w:r>
              <w:rPr>
                <w:rFonts w:hint="eastAsia" w:ascii="宋体" w:hAnsi="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（六）其他处理</w:t>
            </w:r>
          </w:p>
        </w:tc>
        <w:tc>
          <w:tcPr>
            <w:tcW w:w="3217"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946"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ascii="宋体"/>
                <w:sz w:val="24"/>
                <w:szCs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ascii="Calibri" w:hAnsi="Calibri" w:cs="Calibri"/>
                <w:kern w:val="0"/>
                <w:sz w:val="20"/>
                <w:szCs w:val="20"/>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cs="Calibri"/>
                <w:kern w:val="0"/>
                <w:sz w:val="20"/>
                <w:szCs w:val="20"/>
              </w:rPr>
            </w:pPr>
            <w:r>
              <w:rPr>
                <w:rFonts w:ascii="Calibri" w:hAnsi="Calibri" w:cs="Calibri"/>
                <w:kern w:val="0"/>
                <w:sz w:val="20"/>
                <w:szCs w:val="2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c>
          <w:tcPr>
            <w:tcW w:w="689"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ascii="Calibri" w:hAnsi="Calibri" w:cs="Calibri"/>
                <w:kern w:val="0"/>
                <w:sz w:val="20"/>
                <w:szCs w:val="20"/>
              </w:rPr>
            </w:pPr>
            <w:r>
              <w:rPr>
                <w:rFonts w:hint="eastAsia" w:ascii="Calibri" w:hAnsi="Calibri" w:cs="Calibri"/>
                <w:kern w:val="0"/>
                <w:sz w:val="20"/>
                <w:szCs w:val="20"/>
              </w:rPr>
              <w:t>0</w:t>
            </w:r>
          </w:p>
        </w:tc>
      </w:tr>
    </w:tbl>
    <w:p>
      <w:pPr>
        <w:pStyle w:val="2"/>
        <w:spacing w:line="560" w:lineRule="exact"/>
        <w:ind w:left="420" w:leftChars="200"/>
      </w:pPr>
    </w:p>
    <w:p>
      <w:pPr>
        <w:pStyle w:val="2"/>
        <w:spacing w:line="560" w:lineRule="exact"/>
        <w:ind w:left="420" w:leftChars="200"/>
      </w:pPr>
      <w:r>
        <w:rPr>
          <w:rFonts w:hint="eastAsia"/>
        </w:rPr>
        <w:br w:type="textWrapping"/>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exact"/>
              <w:jc w:val="cente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exact"/>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560" w:lineRule="exact"/>
              <w:jc w:val="cente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560" w:lineRule="exact"/>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ascii="宋体"/>
                <w:sz w:val="24"/>
                <w:szCs w:val="24"/>
              </w:rPr>
            </w:pPr>
            <w:r>
              <w:rPr>
                <w:rFonts w:hint="eastAsia" w:ascii="宋体"/>
                <w:sz w:val="24"/>
                <w:szCs w:val="24"/>
              </w:rPr>
              <w:t>0</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spacing w:line="560" w:lineRule="exact"/>
        <w:ind w:firstLine="640" w:firstLineChars="200"/>
        <w:rPr>
          <w:rFonts w:ascii="仿宋_GB2312" w:hAnsi="ˎ̥" w:eastAsia="仿宋_GB2312" w:cs="宋体"/>
          <w:kern w:val="0"/>
          <w:sz w:val="32"/>
          <w:szCs w:val="32"/>
        </w:rPr>
      </w:pPr>
      <w:r>
        <w:rPr>
          <w:rFonts w:hint="eastAsia" w:ascii="仿宋_GB2312" w:hAnsi="ˎ̥" w:eastAsia="仿宋_GB2312" w:cs="宋体"/>
          <w:kern w:val="0"/>
          <w:sz w:val="32"/>
          <w:szCs w:val="32"/>
        </w:rPr>
        <w:t>一是街道各部门主动公开意识不强。2021年集中对个别部门</w:t>
      </w:r>
      <w:r>
        <w:rPr>
          <w:rFonts w:ascii="仿宋_GB2312" w:hAnsi="ˎ̥" w:eastAsia="仿宋_GB2312" w:cs="宋体"/>
          <w:kern w:val="0"/>
          <w:sz w:val="32"/>
          <w:szCs w:val="32"/>
        </w:rPr>
        <w:t>的</w:t>
      </w:r>
      <w:r>
        <w:rPr>
          <w:rFonts w:hint="eastAsia" w:ascii="仿宋_GB2312" w:hAnsi="ˎ̥" w:eastAsia="仿宋_GB2312" w:cs="宋体"/>
          <w:kern w:val="0"/>
          <w:sz w:val="32"/>
          <w:szCs w:val="32"/>
        </w:rPr>
        <w:t>活动及工作信息进行公开，公开信息涉及领域不够全面。2022年将继续加大宣传力度，组织干部学习政府信息公开相关法律法规，掌握信息公开的具体要求和内容，提高依法公开意识，提升业务水平，按照上级文件政策要求及时做好各项领域的信息公开工作。</w:t>
      </w:r>
    </w:p>
    <w:p>
      <w:pPr>
        <w:spacing w:line="560" w:lineRule="exact"/>
        <w:ind w:firstLine="640" w:firstLineChars="200"/>
        <w:rPr>
          <w:rFonts w:ascii="仿宋_GB2312" w:hAnsi="ˎ̥" w:eastAsia="仿宋_GB2312" w:cs="宋体"/>
          <w:kern w:val="0"/>
          <w:sz w:val="32"/>
          <w:szCs w:val="32"/>
        </w:rPr>
      </w:pPr>
      <w:r>
        <w:rPr>
          <w:rFonts w:hint="eastAsia" w:ascii="仿宋_GB2312" w:hAnsi="ˎ̥" w:eastAsia="仿宋_GB2312" w:cs="宋体"/>
          <w:kern w:val="0"/>
          <w:sz w:val="32"/>
          <w:szCs w:val="32"/>
        </w:rPr>
        <w:t>二是重点领域公开力度与时效尚待提高。2021年未及时公开街道所涉及的重点领域社会</w:t>
      </w:r>
      <w:r>
        <w:rPr>
          <w:rFonts w:ascii="仿宋_GB2312" w:hAnsi="ˎ̥" w:eastAsia="仿宋_GB2312" w:cs="宋体"/>
          <w:kern w:val="0"/>
          <w:sz w:val="32"/>
          <w:szCs w:val="32"/>
        </w:rPr>
        <w:t>救助</w:t>
      </w:r>
      <w:r>
        <w:rPr>
          <w:rFonts w:hint="eastAsia" w:ascii="仿宋_GB2312" w:hAnsi="ˎ̥" w:eastAsia="仿宋_GB2312" w:cs="宋体"/>
          <w:kern w:val="0"/>
          <w:sz w:val="32"/>
          <w:szCs w:val="32"/>
        </w:rPr>
        <w:t>中</w:t>
      </w:r>
      <w:r>
        <w:rPr>
          <w:rFonts w:ascii="仿宋_GB2312" w:hAnsi="ˎ̥" w:eastAsia="仿宋_GB2312" w:cs="宋体"/>
          <w:kern w:val="0"/>
          <w:sz w:val="32"/>
          <w:szCs w:val="32"/>
        </w:rPr>
        <w:t>低保、特困</w:t>
      </w:r>
      <w:r>
        <w:rPr>
          <w:rFonts w:hint="eastAsia" w:ascii="仿宋_GB2312" w:hAnsi="ˎ̥" w:eastAsia="仿宋_GB2312" w:cs="宋体"/>
          <w:kern w:val="0"/>
          <w:sz w:val="32"/>
          <w:szCs w:val="32"/>
        </w:rPr>
        <w:t>、高等教育补助</w:t>
      </w:r>
      <w:r>
        <w:rPr>
          <w:rFonts w:ascii="仿宋_GB2312" w:hAnsi="ˎ̥" w:eastAsia="仿宋_GB2312" w:cs="宋体"/>
          <w:kern w:val="0"/>
          <w:sz w:val="32"/>
          <w:szCs w:val="32"/>
        </w:rPr>
        <w:t>、</w:t>
      </w:r>
      <w:r>
        <w:rPr>
          <w:rFonts w:hint="eastAsia" w:ascii="仿宋_GB2312" w:hAnsi="ˎ̥" w:eastAsia="仿宋_GB2312" w:cs="宋体"/>
          <w:kern w:val="0"/>
          <w:sz w:val="32"/>
          <w:szCs w:val="32"/>
        </w:rPr>
        <w:t>医疗救助</w:t>
      </w:r>
      <w:r>
        <w:rPr>
          <w:rFonts w:ascii="仿宋_GB2312" w:hAnsi="ˎ̥" w:eastAsia="仿宋_GB2312" w:cs="宋体"/>
          <w:kern w:val="0"/>
          <w:sz w:val="32"/>
          <w:szCs w:val="32"/>
        </w:rPr>
        <w:t>、临时救助</w:t>
      </w:r>
      <w:r>
        <w:rPr>
          <w:rFonts w:hint="eastAsia" w:ascii="仿宋_GB2312" w:hAnsi="ˎ̥" w:eastAsia="仿宋_GB2312" w:cs="宋体"/>
          <w:kern w:val="0"/>
          <w:sz w:val="32"/>
          <w:szCs w:val="32"/>
        </w:rPr>
        <w:t>人数</w:t>
      </w:r>
      <w:r>
        <w:rPr>
          <w:rFonts w:ascii="仿宋_GB2312" w:hAnsi="ˎ̥" w:eastAsia="仿宋_GB2312" w:cs="宋体"/>
          <w:kern w:val="0"/>
          <w:sz w:val="32"/>
          <w:szCs w:val="32"/>
        </w:rPr>
        <w:t>以及</w:t>
      </w:r>
      <w:r>
        <w:rPr>
          <w:rFonts w:hint="eastAsia" w:ascii="仿宋_GB2312" w:hAnsi="ˎ̥" w:eastAsia="仿宋_GB2312" w:cs="宋体"/>
          <w:kern w:val="0"/>
          <w:sz w:val="32"/>
          <w:szCs w:val="32"/>
        </w:rPr>
        <w:t>资金支付</w:t>
      </w:r>
      <w:r>
        <w:rPr>
          <w:rFonts w:ascii="仿宋_GB2312" w:hAnsi="ˎ̥" w:eastAsia="仿宋_GB2312" w:cs="宋体"/>
          <w:kern w:val="0"/>
          <w:sz w:val="32"/>
          <w:szCs w:val="32"/>
        </w:rPr>
        <w:t>情况</w:t>
      </w:r>
      <w:r>
        <w:rPr>
          <w:rFonts w:hint="eastAsia" w:ascii="仿宋_GB2312" w:hAnsi="ˎ̥" w:eastAsia="仿宋_GB2312" w:cs="宋体"/>
          <w:kern w:val="0"/>
          <w:sz w:val="32"/>
          <w:szCs w:val="32"/>
        </w:rPr>
        <w:t>信息。2022年将重新梳理街道所涉及的重点领域工作，加大政府信息公开力度，凡属涉及公共利益、公众权益、社会关切及需要社会广泛知晓的信息，如财政预决算、扶贫协作、计划生育、社会救助、城市管理综合行政执法等工作内容，依法、全面、准确、及时地做好公开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90"/>
        <w:jc w:val="left"/>
        <w:rPr>
          <w:rFonts w:ascii="仿宋" w:hAnsi="仿宋" w:eastAsia="仿宋"/>
          <w:color w:val="000000"/>
          <w:sz w:val="32"/>
          <w:szCs w:val="32"/>
        </w:rPr>
      </w:pPr>
      <w:r>
        <w:rPr>
          <w:rFonts w:hint="eastAsia" w:ascii="仿宋" w:hAnsi="仿宋" w:eastAsia="仿宋"/>
          <w:color w:val="000000"/>
          <w:sz w:val="32"/>
          <w:szCs w:val="32"/>
        </w:rPr>
        <w:t>东四街道本年度发出收费通知的件数和总金额以及实际收取的总金额均为0。</w:t>
      </w:r>
    </w:p>
    <w:p>
      <w:pPr>
        <w:widowControl/>
        <w:spacing w:line="560" w:lineRule="exact"/>
        <w:ind w:firstLine="690"/>
        <w:jc w:val="left"/>
        <w:rPr>
          <w:rFonts w:ascii="仿宋" w:hAnsi="仿宋" w:eastAsia="仿宋"/>
          <w:color w:val="000000"/>
          <w:sz w:val="32"/>
          <w:szCs w:val="32"/>
        </w:rPr>
      </w:pPr>
      <w:r>
        <w:rPr>
          <w:rFonts w:hint="eastAsia" w:ascii="仿宋" w:hAnsi="仿宋" w:eastAsia="仿宋"/>
          <w:color w:val="000000"/>
          <w:sz w:val="32"/>
          <w:szCs w:val="32"/>
        </w:rPr>
        <w:t>北京市东城区人民政府门户网站（“数字东城”）网址为http://www.bjdch.gov.cn/，如需了解更多政府信息，请登录查询。</w:t>
      </w:r>
    </w:p>
    <w:p>
      <w:pPr>
        <w:pStyle w:val="2"/>
        <w:spacing w:line="560" w:lineRule="exact"/>
        <w:rPr>
          <w:rFonts w:ascii="仿宋_GB2312" w:eastAsia="仿宋_GB2312"/>
          <w:sz w:val="32"/>
          <w:szCs w:val="32"/>
        </w:rPr>
      </w:pPr>
    </w:p>
    <w:p>
      <w:pPr>
        <w:pStyle w:val="2"/>
        <w:spacing w:line="560" w:lineRule="exact"/>
        <w:ind w:firstLine="690"/>
        <w:jc w:val="right"/>
        <w:rPr>
          <w:rFonts w:ascii="仿宋" w:hAnsi="仿宋" w:eastAsia="仿宋"/>
          <w:color w:val="000000"/>
          <w:sz w:val="32"/>
          <w:szCs w:val="32"/>
        </w:rPr>
      </w:pPr>
      <w:r>
        <w:rPr>
          <w:rFonts w:hint="eastAsia" w:ascii="仿宋" w:hAnsi="仿宋" w:eastAsia="仿宋"/>
          <w:color w:val="000000"/>
          <w:sz w:val="32"/>
          <w:szCs w:val="32"/>
        </w:rPr>
        <w:t>东四街道</w:t>
      </w:r>
      <w:r>
        <w:rPr>
          <w:rFonts w:ascii="仿宋" w:hAnsi="仿宋" w:eastAsia="仿宋"/>
          <w:color w:val="000000"/>
          <w:sz w:val="32"/>
          <w:szCs w:val="32"/>
        </w:rPr>
        <w:t>办事处</w:t>
      </w:r>
    </w:p>
    <w:p>
      <w:pPr>
        <w:pStyle w:val="2"/>
        <w:spacing w:line="560" w:lineRule="exact"/>
        <w:ind w:firstLine="690"/>
        <w:jc w:val="right"/>
      </w:pPr>
      <w:r>
        <w:rPr>
          <w:rFonts w:hint="eastAsia" w:ascii="仿宋" w:hAnsi="仿宋" w:eastAsia="仿宋"/>
          <w:color w:val="000000"/>
          <w:sz w:val="32"/>
          <w:szCs w:val="32"/>
        </w:rPr>
        <w:t>2022年1月7日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宋体"/>
    <w:panose1 w:val="00000000000000000000"/>
    <w:charset w:val="86"/>
    <w:family w:val="decorative"/>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1DD651C"/>
    <w:multiLevelType w:val="singleLevel"/>
    <w:tmpl w:val="61DD651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4c5d476e-4a9e-48c8-b118-b5d363876bfa"/>
  </w:docVars>
  <w:rsids>
    <w:rsidRoot w:val="121D1D85"/>
    <w:rsid w:val="001021F5"/>
    <w:rsid w:val="00190C40"/>
    <w:rsid w:val="003E61B3"/>
    <w:rsid w:val="00444098"/>
    <w:rsid w:val="0050095C"/>
    <w:rsid w:val="00554708"/>
    <w:rsid w:val="0059627F"/>
    <w:rsid w:val="006847ED"/>
    <w:rsid w:val="006C73FD"/>
    <w:rsid w:val="006D0BBC"/>
    <w:rsid w:val="00735D99"/>
    <w:rsid w:val="007853BD"/>
    <w:rsid w:val="00892F4B"/>
    <w:rsid w:val="008B7AE5"/>
    <w:rsid w:val="008D351C"/>
    <w:rsid w:val="008D79D8"/>
    <w:rsid w:val="008D7DED"/>
    <w:rsid w:val="008E4EFB"/>
    <w:rsid w:val="0097134E"/>
    <w:rsid w:val="009C452F"/>
    <w:rsid w:val="009E1DF6"/>
    <w:rsid w:val="009E42D9"/>
    <w:rsid w:val="00A16CB9"/>
    <w:rsid w:val="00A6630F"/>
    <w:rsid w:val="00AC7533"/>
    <w:rsid w:val="00B002DE"/>
    <w:rsid w:val="00B15B22"/>
    <w:rsid w:val="00C91003"/>
    <w:rsid w:val="00CF2161"/>
    <w:rsid w:val="00D23B1A"/>
    <w:rsid w:val="00D36EF6"/>
    <w:rsid w:val="00D701BA"/>
    <w:rsid w:val="00DB25C3"/>
    <w:rsid w:val="00E52821"/>
    <w:rsid w:val="00EA7745"/>
    <w:rsid w:val="00EB5CEB"/>
    <w:rsid w:val="00F21F5F"/>
    <w:rsid w:val="00FB66F2"/>
    <w:rsid w:val="00FC0EC8"/>
    <w:rsid w:val="010813D1"/>
    <w:rsid w:val="09E462DC"/>
    <w:rsid w:val="0F4855C8"/>
    <w:rsid w:val="121D1D85"/>
    <w:rsid w:val="13170937"/>
    <w:rsid w:val="155B0A83"/>
    <w:rsid w:val="1705221B"/>
    <w:rsid w:val="1C022B46"/>
    <w:rsid w:val="225C0BD2"/>
    <w:rsid w:val="285444F1"/>
    <w:rsid w:val="28AC555F"/>
    <w:rsid w:val="29C534E8"/>
    <w:rsid w:val="2E4F0D06"/>
    <w:rsid w:val="36D77BB5"/>
    <w:rsid w:val="37C41073"/>
    <w:rsid w:val="3A11078D"/>
    <w:rsid w:val="3F3449DC"/>
    <w:rsid w:val="48A13183"/>
    <w:rsid w:val="497B2538"/>
    <w:rsid w:val="4BEF696F"/>
    <w:rsid w:val="4C130298"/>
    <w:rsid w:val="4C616AED"/>
    <w:rsid w:val="4F8D2506"/>
    <w:rsid w:val="57F63499"/>
    <w:rsid w:val="59DE496A"/>
    <w:rsid w:val="5ACA7DCF"/>
    <w:rsid w:val="5E273D0C"/>
    <w:rsid w:val="61AE6AC5"/>
    <w:rsid w:val="61D836C1"/>
    <w:rsid w:val="66D81D89"/>
    <w:rsid w:val="672F74EC"/>
    <w:rsid w:val="68D43FCF"/>
    <w:rsid w:val="6AEA0709"/>
    <w:rsid w:val="7CD73CE1"/>
    <w:rsid w:val="7F7B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styleId="11">
    <w:name w:val="HTML Code"/>
    <w:basedOn w:val="8"/>
    <w:qFormat/>
    <w:uiPriority w:val="0"/>
    <w:rPr>
      <w:rFonts w:ascii="Courier New" w:hAnsi="Courier New"/>
      <w:sz w:val="20"/>
    </w:rPr>
  </w:style>
  <w:style w:type="character" w:customStyle="1" w:styleId="12">
    <w:name w:val="页眉 字符"/>
    <w:basedOn w:val="8"/>
    <w:link w:val="5"/>
    <w:qFormat/>
    <w:uiPriority w:val="0"/>
    <w:rPr>
      <w:rFonts w:ascii="Times New Roman" w:hAnsi="Times New Roman" w:eastAsia="宋体" w:cs="Times New Roman"/>
      <w:kern w:val="2"/>
      <w:sz w:val="18"/>
      <w:szCs w:val="18"/>
    </w:rPr>
  </w:style>
  <w:style w:type="character" w:customStyle="1" w:styleId="13">
    <w:name w:val="页脚 字符"/>
    <w:basedOn w:val="8"/>
    <w:link w:val="4"/>
    <w:qFormat/>
    <w:uiPriority w:val="0"/>
    <w:rPr>
      <w:rFonts w:ascii="Times New Roman" w:hAnsi="Times New Roman" w:eastAsia="宋体" w:cs="Times New Roman"/>
      <w:kern w:val="2"/>
      <w:sz w:val="18"/>
      <w:szCs w:val="18"/>
    </w:rPr>
  </w:style>
  <w:style w:type="character" w:customStyle="1" w:styleId="14">
    <w:name w:val="批注框文本 字符"/>
    <w:basedOn w:val="8"/>
    <w:link w:val="3"/>
    <w:qFormat/>
    <w:uiPriority w:val="0"/>
    <w:rPr>
      <w:rFonts w:ascii="Times New Roman" w:hAnsi="Times New Roman" w:eastAsia="宋体" w:cs="Times New Roman"/>
      <w:kern w:val="2"/>
      <w:sz w:val="18"/>
      <w:szCs w:val="18"/>
    </w:rPr>
  </w:style>
  <w:style w:type="character" w:customStyle="1" w:styleId="15">
    <w:name w:val="dftime"/>
    <w:basedOn w:val="8"/>
    <w:qFormat/>
    <w:uiPriority w:val="0"/>
    <w:rPr>
      <w:color w:val="A1A1A1"/>
      <w:sz w:val="21"/>
      <w:szCs w:val="21"/>
    </w:rPr>
  </w:style>
  <w:style w:type="character" w:customStyle="1" w:styleId="16">
    <w:name w:val="width24"/>
    <w:basedOn w:val="8"/>
    <w:qFormat/>
    <w:uiPriority w:val="0"/>
  </w:style>
  <w:style w:type="character" w:customStyle="1" w:styleId="17">
    <w:name w:val="width22"/>
    <w:basedOn w:val="8"/>
    <w:qFormat/>
    <w:uiPriority w:val="0"/>
  </w:style>
  <w:style w:type="character" w:customStyle="1" w:styleId="18">
    <w:name w:val="sdpic"/>
    <w:basedOn w:val="8"/>
    <w:qFormat/>
    <w:uiPriority w:val="0"/>
  </w:style>
  <w:style w:type="character" w:customStyle="1" w:styleId="19">
    <w:name w:val="more5"/>
    <w:basedOn w:val="8"/>
    <w:qFormat/>
    <w:uiPriority w:val="0"/>
    <w:rPr>
      <w:color w:val="4D4D4D"/>
      <w:sz w:val="21"/>
      <w:szCs w:val="21"/>
    </w:rPr>
  </w:style>
  <w:style w:type="character" w:customStyle="1" w:styleId="20">
    <w:name w:val="u_page"/>
    <w:basedOn w:val="8"/>
    <w:qFormat/>
    <w:uiPriority w:val="0"/>
  </w:style>
  <w:style w:type="character" w:customStyle="1" w:styleId="21">
    <w:name w:val="xtitle"/>
    <w:basedOn w:val="8"/>
    <w:qFormat/>
    <w:uiPriority w:val="0"/>
    <w:rPr>
      <w:color w:val="A1A1A1"/>
      <w:sz w:val="18"/>
      <w:szCs w:val="18"/>
      <w:bdr w:val="single" w:color="A1A1A1" w:sz="6" w:space="0"/>
    </w:rPr>
  </w:style>
  <w:style w:type="character" w:customStyle="1" w:styleId="22">
    <w:name w:val="more"/>
    <w:basedOn w:val="8"/>
    <w:qFormat/>
    <w:uiPriority w:val="0"/>
    <w:rPr>
      <w:color w:val="4D4D4D"/>
      <w:sz w:val="21"/>
      <w:szCs w:val="21"/>
    </w:rPr>
  </w:style>
  <w:style w:type="character" w:customStyle="1" w:styleId="23">
    <w:name w:val="more3"/>
    <w:basedOn w:val="8"/>
    <w:uiPriority w:val="0"/>
    <w:rPr>
      <w:color w:val="4D4D4D"/>
      <w:sz w:val="21"/>
      <w:szCs w:val="21"/>
    </w:rPr>
  </w:style>
  <w:style w:type="character" w:customStyle="1" w:styleId="24">
    <w:name w:val="more2"/>
    <w:basedOn w:val="8"/>
    <w:qFormat/>
    <w:uiPriority w:val="0"/>
    <w:rPr>
      <w:color w:val="4D4D4D"/>
      <w:sz w:val="21"/>
      <w:szCs w:val="21"/>
    </w:rPr>
  </w:style>
  <w:style w:type="character" w:customStyle="1" w:styleId="25">
    <w:name w:val="more4"/>
    <w:basedOn w:val="8"/>
    <w:qFormat/>
    <w:uiPriority w:val="0"/>
    <w:rPr>
      <w:color w:val="4D4D4D"/>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2755</Words>
  <Characters>2846</Characters>
  <Lines>23</Lines>
  <Paragraphs>6</Paragraphs>
  <TotalTime>7</TotalTime>
  <ScaleCrop>false</ScaleCrop>
  <LinksUpToDate>false</LinksUpToDate>
  <CharactersWithSpaces>2852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2021-12-24T02:11:00Z</dcterms:created>
  <dc:creator>朱睿</dc:creator>
  <cp:lastModifiedBy>名字不重要</cp:lastModifiedBy>
  <cp:lastPrinted>2022-01-07T08:30:00Z</cp:lastPrinted>
  <dcterms:modified xsi:type="dcterms:W3CDTF">2023-05-15T10:28:46Z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FFF0FF2D7BE14B30AF315EA9748F6520</vt:lpwstr>
  </property>
</Properties>
</file>