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color w:val="000000" w:themeColor="text1"/>
          <w:sz w:val="44"/>
          <w:szCs w:val="44"/>
          <w:lang w:eastAsia="zh-CN"/>
        </w:rPr>
      </w:pPr>
      <w:r>
        <w:rPr>
          <w:rFonts w:hint="eastAsia" w:ascii="方正小标宋简体" w:hAnsi="方正小标宋简体" w:eastAsia="方正小标宋简体" w:cs="方正小标宋简体"/>
          <w:color w:val="000000" w:themeColor="text1"/>
          <w:sz w:val="44"/>
          <w:szCs w:val="44"/>
          <w:lang w:eastAsia="zh-CN"/>
        </w:rPr>
        <w:t>北京市东城区人民政府前门街道办事处</w:t>
      </w:r>
      <w:r>
        <w:rPr>
          <w:rFonts w:hint="eastAsia" w:ascii="方正小标宋简体" w:hAnsi="方正小标宋简体" w:eastAsia="方正小标宋简体" w:cs="方正小标宋简体"/>
          <w:color w:val="000000" w:themeColor="text1"/>
          <w:sz w:val="44"/>
          <w:szCs w:val="44"/>
        </w:rPr>
        <w:t>202</w:t>
      </w:r>
      <w:r>
        <w:rPr>
          <w:rFonts w:hint="eastAsia" w:ascii="方正小标宋简体" w:hAnsi="方正小标宋简体" w:eastAsia="方正小标宋简体" w:cs="方正小标宋简体"/>
          <w:color w:val="000000" w:themeColor="text1"/>
          <w:sz w:val="44"/>
          <w:szCs w:val="44"/>
          <w:lang w:val="en-US" w:eastAsia="zh-CN"/>
        </w:rPr>
        <w:t>1</w:t>
      </w:r>
      <w:r>
        <w:rPr>
          <w:rFonts w:hint="eastAsia" w:ascii="方正小标宋简体" w:hAnsi="方正小标宋简体" w:eastAsia="方正小标宋简体" w:cs="方正小标宋简体"/>
          <w:color w:val="000000" w:themeColor="text1"/>
          <w:sz w:val="44"/>
          <w:szCs w:val="44"/>
        </w:rPr>
        <w:t>年政府信息公开工作年度报告</w:t>
      </w:r>
    </w:p>
    <w:p>
      <w:pPr>
        <w:wordWrap/>
        <w:adjustRightInd/>
        <w:snapToGrid/>
        <w:spacing w:line="560" w:lineRule="exact"/>
        <w:ind w:right="0"/>
        <w:jc w:val="center"/>
        <w:textAlignment w:val="auto"/>
        <w:outlineLvl w:val="9"/>
        <w:rPr>
          <w:color w:val="000000" w:themeColor="text1"/>
          <w:sz w:val="44"/>
          <w:szCs w:val="44"/>
        </w:rPr>
      </w:pPr>
    </w:p>
    <w:p>
      <w:pPr>
        <w:widowControl/>
        <w:wordWrap/>
        <w:adjustRightInd/>
        <w:snapToGrid/>
        <w:spacing w:line="560" w:lineRule="exact"/>
        <w:ind w:right="0"/>
        <w:jc w:val="left"/>
        <w:textAlignment w:val="auto"/>
        <w:outlineLvl w:val="9"/>
        <w:rPr>
          <w:rFonts w:hint="eastAsia" w:ascii="仿宋_GB2312" w:hAnsi="宋体" w:eastAsia="仿宋_GB2312" w:cs="宋体"/>
          <w:color w:val="000000" w:themeColor="text1"/>
          <w:spacing w:val="8"/>
          <w:kern w:val="0"/>
          <w:sz w:val="32"/>
          <w:szCs w:val="32"/>
        </w:rPr>
      </w:pPr>
      <w:r>
        <w:rPr>
          <w:rFonts w:hint="eastAsia" w:ascii="微软雅黑" w:hAnsi="微软雅黑" w:eastAsia="微软雅黑" w:cs="宋体"/>
          <w:color w:val="000000" w:themeColor="text1"/>
          <w:kern w:val="0"/>
          <w:sz w:val="24"/>
        </w:rPr>
        <w:t>　</w:t>
      </w:r>
      <w:r>
        <w:rPr>
          <w:rFonts w:hint="eastAsia" w:ascii="微软雅黑" w:hAnsi="微软雅黑" w:eastAsia="微软雅黑" w:cs="宋体"/>
          <w:color w:val="000000" w:themeColor="text1"/>
          <w:kern w:val="0"/>
          <w:sz w:val="32"/>
          <w:szCs w:val="32"/>
        </w:rPr>
        <w:t xml:space="preserve"> </w:t>
      </w:r>
      <w:r>
        <w:rPr>
          <w:rFonts w:ascii="微软雅黑" w:hAnsi="微软雅黑" w:eastAsia="微软雅黑" w:cs="宋体"/>
          <w:color w:val="000000" w:themeColor="text1"/>
          <w:kern w:val="0"/>
          <w:sz w:val="32"/>
          <w:szCs w:val="32"/>
        </w:rPr>
        <w:t xml:space="preserve">  </w:t>
      </w:r>
      <w:r>
        <w:rPr>
          <w:rFonts w:hint="eastAsia" w:ascii="仿宋_GB2312" w:hAnsi="宋体" w:eastAsia="仿宋_GB2312" w:cs="宋体"/>
          <w:color w:val="000000" w:themeColor="text1"/>
          <w:spacing w:val="8"/>
          <w:kern w:val="0"/>
          <w:sz w:val="32"/>
          <w:szCs w:val="32"/>
        </w:rPr>
        <w:t>依据《中华人民共和国政府信息公开条例》(以下简称《政府信息公开条例》)第五十条规定，编制本报告。</w:t>
      </w:r>
    </w:p>
    <w:p>
      <w:pPr>
        <w:widowControl/>
        <w:wordWrap/>
        <w:adjustRightInd/>
        <w:snapToGrid/>
        <w:spacing w:line="560" w:lineRule="exact"/>
        <w:ind w:right="0" w:firstLine="672" w:firstLineChars="200"/>
        <w:jc w:val="left"/>
        <w:textAlignment w:val="auto"/>
        <w:outlineLvl w:val="9"/>
        <w:rPr>
          <w:rFonts w:ascii="黑体" w:hAnsi="黑体" w:eastAsia="黑体" w:cs="宋体"/>
          <w:color w:val="000000" w:themeColor="text1"/>
          <w:spacing w:val="8"/>
          <w:kern w:val="0"/>
          <w:sz w:val="32"/>
          <w:szCs w:val="32"/>
        </w:rPr>
      </w:pPr>
      <w:r>
        <w:rPr>
          <w:rFonts w:ascii="黑体" w:hAnsi="黑体" w:eastAsia="黑体" w:cs="宋体"/>
          <w:color w:val="000000" w:themeColor="text1"/>
          <w:spacing w:val="8"/>
          <w:kern w:val="0"/>
          <w:sz w:val="32"/>
          <w:szCs w:val="32"/>
        </w:rPr>
        <w:t>一、总体情况</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72" w:firstLineChars="200"/>
        <w:jc w:val="both"/>
        <w:textAlignment w:val="auto"/>
        <w:outlineLvl w:val="9"/>
        <w:rPr>
          <w:rFonts w:hint="eastAsia" w:ascii="仿宋_GB2312" w:hAnsi="宋体" w:eastAsia="仿宋_GB2312" w:cs="宋体"/>
          <w:color w:val="000000" w:themeColor="text1"/>
          <w:spacing w:val="8"/>
          <w:kern w:val="0"/>
          <w:sz w:val="32"/>
          <w:szCs w:val="32"/>
          <w:lang w:val="en-US" w:eastAsia="zh-CN" w:bidi="ar-SA"/>
        </w:rPr>
      </w:pPr>
      <w:r>
        <w:rPr>
          <w:rFonts w:hint="eastAsia" w:ascii="仿宋_GB2312" w:hAnsi="宋体" w:eastAsia="仿宋_GB2312" w:cs="宋体"/>
          <w:color w:val="000000" w:themeColor="text1"/>
          <w:spacing w:val="8"/>
          <w:kern w:val="0"/>
          <w:sz w:val="32"/>
          <w:szCs w:val="32"/>
          <w:lang w:val="en-US" w:eastAsia="zh-CN" w:bidi="ar-SA"/>
        </w:rPr>
        <w:t>2021年，前门街道坚持以习近平新时代中国特色社会主义思想为指导，认真学习贯彻《政府信息公开条例》，按照《东城区2021年政务公开工作要点》文件精神，建立健全信息公开制度，依托“数字东城”门户网站，及时公开民生保障、疫情防控、优化营商环境等重点领域政府信息工作，圆满完成了年度政府信息公开各项工作任务。</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仿宋" w:hAnsi="仿宋" w:eastAsia="仿宋" w:cs="仿宋"/>
          <w:b/>
          <w:color w:val="000000" w:themeColor="text1"/>
          <w:spacing w:val="8"/>
          <w:sz w:val="32"/>
          <w:szCs w:val="32"/>
          <w:lang w:val="en-US" w:eastAsia="zh-CN"/>
        </w:rPr>
      </w:pPr>
      <w:r>
        <w:rPr>
          <w:rFonts w:hint="eastAsia" w:ascii="仿宋" w:hAnsi="仿宋" w:eastAsia="仿宋" w:cs="仿宋"/>
          <w:b/>
          <w:color w:val="000000" w:themeColor="text1"/>
          <w:spacing w:val="8"/>
          <w:sz w:val="32"/>
          <w:szCs w:val="32"/>
          <w:lang w:val="en-US" w:eastAsia="zh-CN"/>
        </w:rPr>
        <w:t>（一）组织领导</w:t>
      </w:r>
    </w:p>
    <w:p>
      <w:pPr>
        <w:pStyle w:val="6"/>
        <w:widowControl/>
        <w:pBdr>
          <w:top w:val="none" w:color="auto" w:sz="0" w:space="0"/>
          <w:left w:val="none" w:color="auto" w:sz="0" w:space="0"/>
          <w:bottom w:val="none" w:color="auto" w:sz="0" w:space="0"/>
          <w:right w:val="none" w:color="auto" w:sz="0" w:space="0"/>
        </w:pBdr>
        <w:tabs>
          <w:tab w:val="left" w:pos="1000"/>
        </w:tabs>
        <w:wordWrap/>
        <w:adjustRightInd/>
        <w:snapToGrid/>
        <w:spacing w:before="0" w:beforeAutospacing="0" w:after="0" w:afterAutospacing="0" w:line="560" w:lineRule="exact"/>
        <w:ind w:left="0" w:right="0" w:firstLine="420"/>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 w:hAnsi="仿宋" w:eastAsia="仿宋" w:cs="仿宋"/>
          <w:b/>
          <w:color w:val="000000" w:themeColor="text1"/>
          <w:spacing w:val="8"/>
          <w:sz w:val="32"/>
          <w:szCs w:val="32"/>
          <w:lang w:val="en-US" w:eastAsia="zh-CN"/>
        </w:rPr>
        <w:t xml:space="preserve"> </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为进一步加强政府信息公开工作的领导，切实做好信息公开管理工作，街道领导高度重视，确定办事处主任是信息公开工作的第一责任人，综合办主管领导分管信息公开工作，综合办公室负责政府信息公开的日常工作。</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仿宋" w:hAnsi="仿宋" w:eastAsia="仿宋" w:cs="仿宋"/>
          <w:b/>
          <w:color w:val="000000" w:themeColor="text1"/>
          <w:spacing w:val="8"/>
          <w:sz w:val="32"/>
          <w:szCs w:val="32"/>
        </w:rPr>
      </w:pPr>
      <w:r>
        <w:rPr>
          <w:rFonts w:hint="eastAsia" w:ascii="仿宋" w:hAnsi="仿宋" w:eastAsia="仿宋" w:cs="仿宋"/>
          <w:b/>
          <w:color w:val="000000" w:themeColor="text1"/>
          <w:spacing w:val="8"/>
          <w:sz w:val="32"/>
          <w:szCs w:val="32"/>
          <w:lang w:val="en-US" w:eastAsia="zh-CN"/>
        </w:rPr>
        <w:t>（二）</w:t>
      </w:r>
      <w:r>
        <w:rPr>
          <w:rFonts w:hint="eastAsia" w:ascii="仿宋" w:hAnsi="仿宋" w:eastAsia="仿宋" w:cs="仿宋"/>
          <w:b/>
          <w:color w:val="000000" w:themeColor="text1"/>
          <w:spacing w:val="8"/>
          <w:sz w:val="32"/>
          <w:szCs w:val="32"/>
        </w:rPr>
        <w:t>主动公开情况</w:t>
      </w:r>
    </w:p>
    <w:p>
      <w:pPr>
        <w:pStyle w:val="6"/>
        <w:widowControl/>
        <w:pBdr>
          <w:top w:val="none" w:color="auto" w:sz="0" w:space="0"/>
          <w:left w:val="none" w:color="auto" w:sz="0" w:space="0"/>
          <w:bottom w:val="none" w:color="auto" w:sz="0" w:space="0"/>
          <w:right w:val="none" w:color="auto" w:sz="0" w:space="0"/>
        </w:pBdr>
        <w:tabs>
          <w:tab w:val="left" w:pos="1000"/>
        </w:tabs>
        <w:wordWrap/>
        <w:adjustRightInd/>
        <w:snapToGrid/>
        <w:spacing w:before="0" w:beforeAutospacing="0" w:after="0" w:afterAutospacing="0" w:line="560" w:lineRule="exact"/>
        <w:ind w:left="0" w:right="0" w:firstLine="420"/>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根据相关法律法规要求，前门街道以“数字东城”门户网站、“前门宣传”微信公众号为载体，及时准确公开政府信息及街道日常工作动态。截至2021年12月31日，前门街道主动公开政府信息700余条。其中，“数字东城”门户网站公开政府信息315条，微信公众号公开政府信息400余条。</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jc w:val="left"/>
        <w:textAlignment w:val="auto"/>
        <w:outlineLvl w:val="9"/>
        <w:rPr>
          <w:rFonts w:hint="eastAsia" w:ascii="仿宋" w:hAnsi="仿宋" w:eastAsia="仿宋" w:cs="仿宋"/>
          <w:b/>
          <w:color w:val="000000" w:themeColor="text1"/>
          <w:spacing w:val="8"/>
          <w:sz w:val="32"/>
          <w:szCs w:val="32"/>
        </w:rPr>
      </w:pPr>
      <w:r>
        <w:rPr>
          <w:rFonts w:hint="eastAsia" w:ascii="仿宋" w:hAnsi="仿宋" w:eastAsia="仿宋" w:cs="仿宋"/>
          <w:b/>
          <w:color w:val="000000" w:themeColor="text1"/>
          <w:spacing w:val="8"/>
          <w:sz w:val="32"/>
          <w:szCs w:val="32"/>
          <w:lang w:val="en-US" w:eastAsia="zh-CN"/>
        </w:rPr>
        <w:t xml:space="preserve">   </w:t>
      </w:r>
      <w:r>
        <w:rPr>
          <w:rFonts w:hint="eastAsia" w:ascii="仿宋" w:hAnsi="仿宋" w:eastAsia="仿宋" w:cs="仿宋"/>
          <w:b/>
          <w:color w:val="000000" w:themeColor="text1"/>
          <w:spacing w:val="8"/>
          <w:sz w:val="32"/>
          <w:szCs w:val="32"/>
          <w:lang w:eastAsia="zh-CN"/>
        </w:rPr>
        <w:t>（三）</w:t>
      </w:r>
      <w:r>
        <w:rPr>
          <w:rFonts w:hint="eastAsia" w:ascii="仿宋" w:hAnsi="仿宋" w:eastAsia="仿宋" w:cs="仿宋"/>
          <w:b/>
          <w:color w:val="000000" w:themeColor="text1"/>
          <w:spacing w:val="8"/>
          <w:sz w:val="32"/>
          <w:szCs w:val="32"/>
        </w:rPr>
        <w:t>依申请公开办理情况</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firstLine="675" w:firstLineChars="200"/>
        <w:jc w:val="left"/>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8"/>
          <w:sz w:val="32"/>
          <w:szCs w:val="32"/>
        </w:rPr>
        <w:t>一是申请情况。</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本</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年新收到政府信息公开申请数量2件，申请人均为自然人。申请方式中，当面申请1件，邮箱申请1件。</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firstLine="675" w:firstLineChars="200"/>
        <w:jc w:val="left"/>
        <w:textAlignment w:val="auto"/>
        <w:outlineLvl w:val="9"/>
        <w:rPr>
          <w:rFonts w:hint="eastAsia" w:ascii="仿宋" w:hAnsi="仿宋" w:eastAsia="仿宋" w:cs="仿宋"/>
          <w:color w:val="000000" w:themeColor="text1"/>
          <w:spacing w:val="8"/>
          <w:sz w:val="32"/>
          <w:szCs w:val="32"/>
        </w:rPr>
      </w:pPr>
      <w:r>
        <w:rPr>
          <w:rFonts w:hint="eastAsia" w:ascii="仿宋" w:hAnsi="仿宋" w:eastAsia="仿宋" w:cs="仿宋"/>
          <w:b/>
          <w:bCs/>
          <w:color w:val="000000" w:themeColor="text1"/>
          <w:spacing w:val="8"/>
          <w:sz w:val="32"/>
          <w:szCs w:val="32"/>
        </w:rPr>
        <w:t>二是办结情况。</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全</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年共办结依申请2件，均按时办结。其中，属于予以公开答复1件；部分公开答复1件。上年结转政府信息公开申请数量0件。</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675"/>
        <w:jc w:val="left"/>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8"/>
          <w:sz w:val="32"/>
          <w:szCs w:val="32"/>
        </w:rPr>
        <w:t>三是其他说明。</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政</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府信息公开申请</w:t>
      </w: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行政复议1件，属于结果纠正。</w:t>
      </w:r>
    </w:p>
    <w:p>
      <w:pPr>
        <w:pStyle w:val="6"/>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596" w:leftChars="0" w:right="0" w:firstLine="0" w:firstLineChars="0"/>
        <w:textAlignment w:val="auto"/>
        <w:outlineLvl w:val="9"/>
        <w:rPr>
          <w:rFonts w:hint="eastAsia" w:ascii="仿宋" w:hAnsi="仿宋" w:eastAsia="仿宋" w:cs="仿宋"/>
          <w:b/>
          <w:color w:val="000000" w:themeColor="text1"/>
          <w:spacing w:val="8"/>
          <w:sz w:val="32"/>
          <w:szCs w:val="32"/>
          <w:lang w:val="en-US" w:eastAsia="zh-CN"/>
        </w:rPr>
      </w:pPr>
      <w:r>
        <w:rPr>
          <w:rFonts w:hint="eastAsia" w:ascii="仿宋" w:hAnsi="仿宋" w:eastAsia="仿宋" w:cs="仿宋"/>
          <w:b/>
          <w:color w:val="000000" w:themeColor="text1"/>
          <w:spacing w:val="8"/>
          <w:sz w:val="32"/>
          <w:szCs w:val="32"/>
          <w:lang w:val="en-US" w:eastAsia="zh-CN"/>
        </w:rPr>
        <w:t>政府信息公开和平台建设</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675"/>
        <w:jc w:val="left"/>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为了进一步规范政府信息公开管理，确保信息内容的真实、准确，前门街道严格遵守《政府信息公开条例》及政务公开工作相关规定，按照“先审查，后发布”的工作原则，凡是街道主动公开的信息，必须填写《前门街道信息发布保密审查单》，逐级审核签字后，才能在网上公示。未经保密审查和主管领导审核批准的信息，一律不得在网上发布。同时，根据区级相关文件要求，积极与区科信局和区政务服务局对接，及时在“数字东城”门户网站调整“疫情防控”“复工复产”专栏，积极推进平台建设，实现街道政府信息公开平台规范化、合理化。</w:t>
      </w:r>
    </w:p>
    <w:p>
      <w:pPr>
        <w:pStyle w:val="6"/>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firstLine="675" w:firstLineChars="200"/>
        <w:jc w:val="left"/>
        <w:textAlignment w:val="auto"/>
        <w:outlineLvl w:val="9"/>
        <w:rPr>
          <w:rFonts w:hint="eastAsia" w:ascii="仿宋" w:hAnsi="仿宋" w:eastAsia="仿宋" w:cs="仿宋"/>
          <w:b/>
          <w:color w:val="000000" w:themeColor="text1"/>
          <w:spacing w:val="8"/>
          <w:sz w:val="32"/>
          <w:szCs w:val="32"/>
          <w:lang w:val="en-US" w:eastAsia="zh-CN"/>
        </w:rPr>
      </w:pPr>
      <w:r>
        <w:rPr>
          <w:rFonts w:hint="eastAsia" w:ascii="仿宋" w:hAnsi="仿宋" w:eastAsia="仿宋" w:cs="仿宋"/>
          <w:b/>
          <w:color w:val="000000" w:themeColor="text1"/>
          <w:spacing w:val="8"/>
          <w:sz w:val="32"/>
          <w:szCs w:val="32"/>
          <w:lang w:val="en-US" w:eastAsia="zh-CN"/>
        </w:rPr>
        <w:t>（五）监督保障和教育培训情况</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675"/>
        <w:jc w:val="left"/>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 xml:space="preserve">2021年，前门街道积极参加区政务服务局组织的主动公开及依申请公开工作培训会，认真学习《信息公开条例》及依申请公开受理流程，切实提高政府信息公开水平。同时，按照区政务服务局下发的《关于做好东城区2021年政务公开网站问题整改的通知》等文件精神，综合办公室及时与业务科室对接，做好监督指导，抓好整改落实，确保信息公开工作有效推进。     </w:t>
      </w:r>
    </w:p>
    <w:p>
      <w:pPr>
        <w:pStyle w:val="6"/>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firstLine="640" w:firstLineChars="200"/>
        <w:jc w:val="left"/>
        <w:textAlignment w:val="auto"/>
        <w:outlineLvl w:val="9"/>
        <w:rPr>
          <w:rFonts w:hint="eastAsia" w:eastAsia="宋体"/>
          <w:color w:val="000000" w:themeColor="text1"/>
          <w:lang w:eastAsia="zh-CN"/>
        </w:rPr>
      </w:pPr>
      <w:r>
        <w:rPr>
          <w:rFonts w:hint="eastAsia" w:ascii="黑体" w:hAnsi="黑体" w:eastAsia="黑体" w:cs="黑体"/>
          <w:color w:val="000000" w:themeColor="text1"/>
          <w:sz w:val="32"/>
          <w:szCs w:val="32"/>
          <w:lang w:val="en-US" w:eastAsia="zh-CN"/>
        </w:rPr>
        <w:t>二、</w:t>
      </w:r>
      <w:r>
        <w:rPr>
          <w:rFonts w:hint="eastAsia" w:ascii="黑体" w:hAnsi="黑体" w:eastAsia="黑体" w:cs="黑体"/>
          <w:color w:val="000000" w:themeColor="text1"/>
          <w:sz w:val="32"/>
          <w:szCs w:val="32"/>
        </w:rPr>
        <w:t>主动公开政府信息情况</w:t>
      </w:r>
    </w:p>
    <w:p>
      <w:pPr>
        <w:numPr>
          <w:ilvl w:val="0"/>
          <w:numId w:val="0"/>
        </w:numPr>
        <w:wordWrap/>
        <w:adjustRightInd/>
        <w:snapToGrid/>
        <w:spacing w:line="560" w:lineRule="exact"/>
        <w:ind w:right="0"/>
        <w:textAlignment w:val="auto"/>
        <w:outlineLvl w:val="9"/>
        <w:rPr>
          <w:rFonts w:hint="eastAsia" w:eastAsia="宋体"/>
          <w:color w:val="000000" w:themeColor="text1"/>
          <w:lang w:eastAsia="zh-CN"/>
        </w:rPr>
      </w:pPr>
      <w:r>
        <w:rPr>
          <w:rFonts w:hint="eastAsia"/>
          <w:color w:val="000000" w:themeColor="text1"/>
          <w:lang w:eastAsia="zh-CN"/>
        </w:rPr>
        <w:tab/>
      </w:r>
    </w:p>
    <w:tbl>
      <w:tblPr>
        <w:tblStyle w:val="7"/>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5"/>
        <w:gridCol w:w="2415"/>
        <w:gridCol w:w="241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966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宋体" w:hAnsi="宋体" w:eastAsia="宋体" w:cs="宋体"/>
                <w:color w:val="000000" w:themeColor="text1"/>
                <w:kern w:val="0"/>
                <w:sz w:val="20"/>
                <w:szCs w:val="20"/>
                <w:lang w:val="en-US" w:eastAsia="zh-CN"/>
              </w:rPr>
            </w:pPr>
            <w:r>
              <w:rPr>
                <w:rFonts w:hint="eastAsia" w:ascii="宋体" w:hAnsi="宋体" w:eastAsia="宋体" w:cs="宋体"/>
                <w:color w:val="000000" w:themeColor="text1"/>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信息内容</w:t>
            </w:r>
          </w:p>
        </w:tc>
        <w:tc>
          <w:tcPr>
            <w:tcW w:w="241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宋体" w:hAnsi="宋体" w:eastAsia="宋体" w:cs="宋体"/>
                <w:color w:val="000000" w:themeColor="text1"/>
                <w:kern w:val="0"/>
                <w:sz w:val="20"/>
                <w:szCs w:val="20"/>
                <w:lang w:val="en-US" w:eastAsia="zh-CN"/>
              </w:rPr>
            </w:pPr>
            <w:r>
              <w:rPr>
                <w:rFonts w:hint="eastAsia" w:ascii="宋体" w:hAnsi="宋体" w:eastAsia="宋体" w:cs="宋体"/>
                <w:color w:val="000000" w:themeColor="text1"/>
                <w:kern w:val="0"/>
                <w:sz w:val="20"/>
                <w:szCs w:val="20"/>
                <w:lang w:val="en-US" w:eastAsia="zh-CN"/>
              </w:rPr>
              <w:t>本年制发件数</w:t>
            </w:r>
          </w:p>
        </w:tc>
        <w:tc>
          <w:tcPr>
            <w:tcW w:w="241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本年废止件数</w:t>
            </w:r>
          </w:p>
        </w:tc>
        <w:tc>
          <w:tcPr>
            <w:tcW w:w="241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规章</w:t>
            </w:r>
          </w:p>
        </w:tc>
        <w:tc>
          <w:tcPr>
            <w:tcW w:w="241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cs="宋体"/>
                <w:color w:val="000000" w:themeColor="text1"/>
                <w:kern w:val="0"/>
                <w:sz w:val="20"/>
                <w:szCs w:val="20"/>
                <w:lang w:val="en-US" w:eastAsia="zh-CN"/>
              </w:rPr>
              <w:t>0</w:t>
            </w:r>
          </w:p>
        </w:tc>
        <w:tc>
          <w:tcPr>
            <w:tcW w:w="241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cs="宋体"/>
                <w:color w:val="000000" w:themeColor="text1"/>
                <w:kern w:val="0"/>
                <w:sz w:val="20"/>
                <w:szCs w:val="20"/>
                <w:lang w:val="en-US" w:eastAsia="zh-CN"/>
              </w:rPr>
              <w:t>0</w:t>
            </w:r>
          </w:p>
        </w:tc>
        <w:tc>
          <w:tcPr>
            <w:tcW w:w="241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left" w:pos="622"/>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行政规范性文件</w:t>
            </w:r>
          </w:p>
        </w:tc>
        <w:tc>
          <w:tcPr>
            <w:tcW w:w="241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center" w:pos="1160"/>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cs="宋体"/>
                <w:color w:val="000000" w:themeColor="text1"/>
                <w:kern w:val="0"/>
                <w:sz w:val="20"/>
                <w:szCs w:val="20"/>
                <w:lang w:val="en-US" w:eastAsia="zh-CN"/>
              </w:rPr>
              <w:t>0</w:t>
            </w:r>
          </w:p>
        </w:tc>
        <w:tc>
          <w:tcPr>
            <w:tcW w:w="241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cs="宋体"/>
                <w:color w:val="000000" w:themeColor="text1"/>
                <w:kern w:val="0"/>
                <w:sz w:val="20"/>
                <w:szCs w:val="20"/>
                <w:lang w:val="en-US" w:eastAsia="zh-CN"/>
              </w:rPr>
              <w:t>0</w:t>
            </w:r>
          </w:p>
        </w:tc>
        <w:tc>
          <w:tcPr>
            <w:tcW w:w="241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left" w:pos="562"/>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966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信息内容</w:t>
            </w:r>
          </w:p>
        </w:tc>
        <w:tc>
          <w:tcPr>
            <w:tcW w:w="724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行政许可</w:t>
            </w:r>
          </w:p>
        </w:tc>
        <w:tc>
          <w:tcPr>
            <w:tcW w:w="724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left" w:pos="524"/>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966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信息内容</w:t>
            </w:r>
          </w:p>
        </w:tc>
        <w:tc>
          <w:tcPr>
            <w:tcW w:w="724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行政处罚</w:t>
            </w:r>
          </w:p>
        </w:tc>
        <w:tc>
          <w:tcPr>
            <w:tcW w:w="724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cs="宋体"/>
                <w:color w:val="000000" w:themeColor="text1"/>
                <w:kern w:val="0"/>
                <w:sz w:val="20"/>
                <w:szCs w:val="20"/>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行政强制</w:t>
            </w:r>
          </w:p>
        </w:tc>
        <w:tc>
          <w:tcPr>
            <w:tcW w:w="724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cs="宋体"/>
                <w:color w:val="000000" w:themeColor="text1"/>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966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信息内容</w:t>
            </w:r>
          </w:p>
        </w:tc>
        <w:tc>
          <w:tcPr>
            <w:tcW w:w="724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241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行政事业性收费</w:t>
            </w:r>
          </w:p>
        </w:tc>
        <w:tc>
          <w:tcPr>
            <w:tcW w:w="7245" w:type="dxa"/>
            <w:gridSpan w:val="3"/>
            <w:tcBorders>
              <w:top w:val="nil"/>
              <w:left w:val="nil"/>
              <w:bottom w:val="single" w:color="auto" w:sz="8" w:space="0"/>
              <w:right w:val="single" w:color="000000" w:sz="8" w:space="0"/>
            </w:tcBorders>
            <w:tcMar>
              <w:left w:w="57" w:type="dxa"/>
              <w:right w:w="57" w:type="dxa"/>
            </w:tcMar>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r>
    </w:tbl>
    <w:p>
      <w:pPr>
        <w:numPr>
          <w:ilvl w:val="0"/>
          <w:numId w:val="0"/>
        </w:numPr>
        <w:wordWrap/>
        <w:adjustRightInd/>
        <w:snapToGrid/>
        <w:spacing w:line="560" w:lineRule="exact"/>
        <w:ind w:right="0"/>
        <w:textAlignment w:val="auto"/>
        <w:outlineLvl w:val="9"/>
        <w:rPr>
          <w:rFonts w:hint="eastAsia" w:ascii="黑体" w:hAnsi="黑体" w:eastAsia="黑体" w:cs="黑体"/>
          <w:color w:val="000000" w:themeColor="text1"/>
          <w:sz w:val="32"/>
          <w:szCs w:val="32"/>
          <w:lang w:eastAsia="zh-CN"/>
        </w:rPr>
      </w:pPr>
    </w:p>
    <w:p>
      <w:pPr>
        <w:numPr>
          <w:ilvl w:val="0"/>
          <w:numId w:val="0"/>
        </w:numPr>
        <w:wordWrap/>
        <w:adjustRightInd/>
        <w:snapToGrid/>
        <w:spacing w:line="560" w:lineRule="exact"/>
        <w:ind w:leftChars="200" w:right="0"/>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420"/>
        <w:jc w:val="both"/>
        <w:textAlignment w:val="auto"/>
        <w:outlineLvl w:val="9"/>
        <w:rPr>
          <w:rFonts w:hint="eastAsia" w:ascii="宋体" w:hAnsi="宋体" w:eastAsia="宋体" w:cs="宋体"/>
          <w:i w:val="0"/>
          <w:caps w:val="0"/>
          <w:color w:val="000000" w:themeColor="text1"/>
          <w:spacing w:val="0"/>
          <w:sz w:val="24"/>
          <w:szCs w:val="24"/>
        </w:rPr>
      </w:pPr>
    </w:p>
    <w:tbl>
      <w:tblPr>
        <w:tblStyle w:val="7"/>
        <w:tblW w:w="97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2"/>
        <w:gridCol w:w="3218"/>
        <w:gridCol w:w="687"/>
        <w:gridCol w:w="687"/>
        <w:gridCol w:w="688"/>
        <w:gridCol w:w="687"/>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4927"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ascii="楷体" w:hAnsi="楷体" w:eastAsia="楷体" w:cs="楷体"/>
                <w:color w:val="000000" w:themeColor="text1"/>
                <w:kern w:val="0"/>
                <w:sz w:val="20"/>
                <w:szCs w:val="20"/>
                <w:lang w:val="en-US" w:eastAsia="zh-CN"/>
              </w:rPr>
              <w:t>（本列数据的勾稽关系为：第一项加第二项之和，等于第三项加第四项之和）</w:t>
            </w:r>
          </w:p>
        </w:tc>
        <w:tc>
          <w:tcPr>
            <w:tcW w:w="4813"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4927"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87"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自然人</w:t>
            </w:r>
          </w:p>
        </w:tc>
        <w:tc>
          <w:tcPr>
            <w:tcW w:w="3438"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2" w:hRule="atLeast"/>
          <w:jc w:val="center"/>
        </w:trPr>
        <w:tc>
          <w:tcPr>
            <w:tcW w:w="4927"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87"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87"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机构</w:t>
            </w:r>
          </w:p>
        </w:tc>
        <w:tc>
          <w:tcPr>
            <w:tcW w:w="687"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其他</w:t>
            </w:r>
          </w:p>
        </w:tc>
        <w:tc>
          <w:tcPr>
            <w:tcW w:w="688"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4927"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一、本年新收政府信息公开申请数量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2</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2</w:t>
            </w: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4927"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二、上年结转政府信息公开申请数量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left" w:pos="224"/>
                <w:tab w:val="center" w:pos="346"/>
              </w:tabs>
              <w:wordWrap/>
              <w:adjustRightInd/>
              <w:snapToGrid/>
              <w:spacing w:beforeAutospacing="0" w:afterAutospacing="0" w:line="560" w:lineRule="exact"/>
              <w:ind w:left="0" w:right="0"/>
              <w:jc w:val="left"/>
              <w:textAlignment w:val="auto"/>
              <w:outlineLvl w:val="9"/>
              <w:rPr>
                <w:color w:val="000000" w:themeColor="text1"/>
              </w:rPr>
            </w:pPr>
            <w:r>
              <w:rPr>
                <w:rFonts w:hint="eastAsia" w:ascii="Calibri" w:hAnsi="Calibri" w:cs="Calibri"/>
                <w:color w:val="000000" w:themeColor="text1"/>
                <w:kern w:val="0"/>
                <w:sz w:val="20"/>
                <w:szCs w:val="20"/>
                <w:lang w:val="en-US" w:eastAsia="zh-CN"/>
              </w:rPr>
              <w:tab/>
            </w:r>
            <w:r>
              <w:rPr>
                <w:rFonts w:hint="eastAsia" w:ascii="Calibri" w:hAnsi="Calibri" w:cs="Calibri"/>
                <w:color w:val="000000" w:themeColor="text1"/>
                <w:kern w:val="0"/>
                <w:sz w:val="20"/>
                <w:szCs w:val="20"/>
                <w:lang w:val="en-US" w:eastAsia="zh-CN"/>
              </w:rPr>
              <w:t>0</w:t>
            </w:r>
            <w:r>
              <w:rPr>
                <w:rFonts w:hint="eastAsia" w:ascii="Calibri" w:hAnsi="Calibri" w:cs="Calibri"/>
                <w:color w:val="000000" w:themeColor="text1"/>
                <w:kern w:val="0"/>
                <w:sz w:val="20"/>
                <w:szCs w:val="20"/>
                <w:lang w:val="en-US" w:eastAsia="zh-CN"/>
              </w:rPr>
              <w:tab/>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三、本年度办理结果</w:t>
            </w:r>
          </w:p>
        </w:tc>
        <w:tc>
          <w:tcPr>
            <w:tcW w:w="416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（一）予以公开</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1</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416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（二）部分公开</w:t>
            </w:r>
            <w:r>
              <w:rPr>
                <w:rFonts w:hint="default" w:ascii="楷体" w:hAnsi="楷体" w:eastAsia="楷体" w:cs="楷体"/>
                <w:color w:val="000000" w:themeColor="text1"/>
                <w:kern w:val="0"/>
                <w:sz w:val="20"/>
                <w:szCs w:val="20"/>
                <w:lang w:val="en-US" w:eastAsia="zh-CN"/>
              </w:rPr>
              <w:t>（区分处理的，只计这一情形，不计其他情形）</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1</w:t>
            </w:r>
            <w:r>
              <w:rPr>
                <w:rFonts w:hint="default" w:ascii="Calibri" w:hAnsi="Calibri" w:cs="Calibri"/>
                <w:color w:val="000000" w:themeColor="text1"/>
                <w:kern w:val="0"/>
                <w:sz w:val="20"/>
                <w:szCs w:val="20"/>
                <w:lang w:val="en-US" w:eastAsia="zh-CN"/>
              </w:rPr>
              <w:t>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both"/>
              <w:textAlignment w:val="auto"/>
              <w:outlineLvl w:val="9"/>
              <w:rPr>
                <w:color w:val="000000" w:themeColor="text1"/>
              </w:rPr>
            </w:pPr>
            <w:r>
              <w:rPr>
                <w:rFonts w:hint="eastAsia" w:ascii="Calibri" w:hAnsi="Calibri" w:cs="Calibri"/>
                <w:color w:val="000000" w:themeColor="text1"/>
                <w:kern w:val="0"/>
                <w:sz w:val="20"/>
                <w:szCs w:val="20"/>
                <w:lang w:val="en-US" w:eastAsia="zh-CN"/>
              </w:rPr>
              <w:t xml:space="preserve">  1</w:t>
            </w: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（三）不予公开</w:t>
            </w: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1.属于国家秘密</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2.其他法律行政法规禁止公开</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3.危及“三安全一稳定”</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4.保护第三方合法权益</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tabs>
                <w:tab w:val="left" w:pos="251"/>
                <w:tab w:val="center" w:pos="346"/>
              </w:tabs>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5.属于三类内部事务信息</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6.属于四类过程性信息</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7.属于行政执法案卷</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8.属于行政查询事项</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（四）无法提供</w:t>
            </w: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1.本机关不掌握相关政府信息</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tabs>
                <w:tab w:val="center" w:pos="346"/>
                <w:tab w:val="left" w:pos="548"/>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2.没有现成信息需要另行制作</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tabs>
                <w:tab w:val="left" w:pos="203"/>
                <w:tab w:val="center" w:pos="346"/>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3.补正后申请内容仍不明确</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（五）不予处理</w:t>
            </w: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1.信访举报投诉类申请</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2.重复申请</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3.要求提供公开出版物</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4.无正当理由大量反复申请</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both"/>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5.要求行政机关确认或重新出具已获取信息</w:t>
            </w:r>
          </w:p>
        </w:tc>
        <w:tc>
          <w:tcPr>
            <w:tcW w:w="687"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0</w:t>
            </w:r>
          </w:p>
        </w:tc>
        <w:tc>
          <w:tcPr>
            <w:tcW w:w="687"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default"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default"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default"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tabs>
                <w:tab w:val="center" w:pos="346"/>
                <w:tab w:val="left" w:pos="524"/>
              </w:tabs>
              <w:wordWrap/>
              <w:adjustRightInd/>
              <w:snapToGrid/>
              <w:spacing w:beforeAutospacing="0" w:afterAutospacing="0" w:line="560" w:lineRule="exact"/>
              <w:ind w:left="0" w:right="0"/>
              <w:jc w:val="left"/>
              <w:textAlignment w:val="auto"/>
              <w:outlineLvl w:val="9"/>
              <w:rPr>
                <w:color w:val="000000" w:themeColor="text1"/>
              </w:rPr>
            </w:pPr>
            <w:r>
              <w:rPr>
                <w:rFonts w:hint="eastAsia" w:ascii="Calibri" w:hAnsi="Calibri" w:cs="Calibri"/>
                <w:color w:val="000000" w:themeColor="text1"/>
                <w:kern w:val="0"/>
                <w:sz w:val="20"/>
                <w:szCs w:val="20"/>
                <w:lang w:val="en-US" w:eastAsia="zh-CN"/>
              </w:rPr>
              <w:tab/>
            </w: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ab/>
            </w:r>
            <w:r>
              <w:rPr>
                <w:rFonts w:hint="eastAsia" w:ascii="Calibri" w:hAnsi="Calibri" w:cs="Calibri"/>
                <w:color w:val="000000" w:themeColor="text1"/>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default"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2"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left"/>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（六）其他处理</w:t>
            </w:r>
          </w:p>
        </w:tc>
        <w:tc>
          <w:tcPr>
            <w:tcW w:w="3218"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both"/>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1.申请人无正当理由逾期不补正、行政机关不再处理其政府信息公开申请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lang w:val="en-US"/>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Calibri" w:hAnsi="Calibri" w:cs="Calibri"/>
                <w:color w:val="000000" w:themeColor="text1"/>
                <w:kern w:val="0"/>
                <w:sz w:val="20"/>
                <w:szCs w:val="20"/>
                <w:lang w:val="en-US" w:eastAsia="zh-CN"/>
              </w:rPr>
            </w:pPr>
            <w:r>
              <w:rPr>
                <w:rFonts w:hint="eastAsia" w:ascii="Calibri" w:hAnsi="Calibri" w:cs="Calibri"/>
                <w:color w:val="000000" w:themeColor="text1"/>
                <w:kern w:val="0"/>
                <w:sz w:val="20"/>
                <w:szCs w:val="20"/>
                <w:lang w:val="en-US" w:eastAsia="zh-CN"/>
              </w:rPr>
              <w:t>0</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2"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both"/>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r>
              <w:rPr>
                <w:rFonts w:hint="default" w:ascii="Calibri" w:hAnsi="Calibri" w:cs="Calibri"/>
                <w:color w:val="000000" w:themeColor="text1"/>
                <w:kern w:val="0"/>
                <w:sz w:val="20"/>
                <w:szCs w:val="20"/>
                <w:lang w:val="en-US" w:eastAsia="zh-CN"/>
              </w:rPr>
              <w:t>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default" w:ascii="Calibri" w:hAnsi="Calibri" w:cs="Calibri"/>
                <w:color w:val="000000" w:themeColor="text1"/>
                <w:kern w:val="0"/>
                <w:sz w:val="20"/>
                <w:szCs w:val="20"/>
                <w:lang w:val="en-US" w:eastAsia="zh-CN"/>
              </w:rPr>
              <w:t> </w:t>
            </w: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Calibri" w:hAnsi="Calibri" w:cs="Calibri"/>
                <w:color w:val="000000" w:themeColor="text1"/>
                <w:kern w:val="0"/>
                <w:sz w:val="20"/>
                <w:szCs w:val="20"/>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Calibri" w:hAnsi="Calibri" w:cs="Calibri"/>
                <w:color w:val="000000" w:themeColor="text1"/>
                <w:kern w:val="0"/>
                <w:sz w:val="20"/>
                <w:szCs w:val="20"/>
                <w:lang w:val="en-US" w:eastAsia="zh-CN"/>
              </w:rPr>
            </w:pPr>
            <w:r>
              <w:rPr>
                <w:rFonts w:hint="eastAsia" w:ascii="Calibri" w:hAnsi="Calibri" w:cs="Calibri"/>
                <w:color w:val="000000" w:themeColor="text1"/>
                <w:kern w:val="0"/>
                <w:sz w:val="20"/>
                <w:szCs w:val="20"/>
                <w:lang w:val="en-US" w:eastAsia="zh-CN"/>
              </w:rPr>
              <w:t>0</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ascii="Calibri" w:hAnsi="Calibri" w:cs="Calibri"/>
                <w:color w:val="000000" w:themeColor="text1"/>
                <w:kern w:val="0"/>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jc w:val="center"/>
              <w:textAlignment w:val="auto"/>
              <w:outlineLvl w:val="9"/>
              <w:rPr>
                <w:rFonts w:hint="eastAsia" w:ascii="宋体"/>
                <w:color w:val="000000" w:themeColor="text1"/>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ind w:right="0"/>
              <w:jc w:val="center"/>
              <w:textAlignment w:val="auto"/>
              <w:outlineLvl w:val="9"/>
              <w:rPr>
                <w:rFonts w:hint="eastAsia" w:ascii="宋体"/>
                <w:color w:val="000000" w:themeColor="text1"/>
                <w:sz w:val="24"/>
                <w:szCs w:val="24"/>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3.其他</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tabs>
                <w:tab w:val="left" w:pos="264"/>
                <w:tab w:val="center" w:pos="347"/>
              </w:tabs>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ind w:right="0"/>
              <w:jc w:val="center"/>
              <w:textAlignment w:val="auto"/>
              <w:outlineLvl w:val="9"/>
              <w:rPr>
                <w:rFonts w:hint="eastAsia" w:ascii="宋体"/>
                <w:color w:val="000000" w:themeColor="text1"/>
                <w:sz w:val="24"/>
                <w:szCs w:val="24"/>
              </w:rPr>
            </w:pPr>
          </w:p>
        </w:tc>
        <w:tc>
          <w:tcPr>
            <w:tcW w:w="416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（七）总计</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2</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Calibri" w:hAnsi="Calibri" w:cs="Calibri"/>
                <w:color w:val="000000" w:themeColor="text1"/>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rFonts w:hint="eastAsia" w:eastAsia="宋体"/>
                <w:color w:val="000000" w:themeColor="text1"/>
                <w:lang w:val="en-US" w:eastAsia="zh-CN"/>
              </w:rPr>
            </w:pPr>
            <w:r>
              <w:rPr>
                <w:rFonts w:hint="eastAsia"/>
                <w:color w:val="000000" w:themeColor="text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4927"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四、结转下年度继续办理</w:t>
            </w:r>
          </w:p>
        </w:tc>
        <w:tc>
          <w:tcPr>
            <w:tcW w:w="687"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c>
          <w:tcPr>
            <w:tcW w:w="687"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c>
          <w:tcPr>
            <w:tcW w:w="687"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r>
    </w:tbl>
    <w:p>
      <w:pPr>
        <w:wordWrap/>
        <w:adjustRightInd/>
        <w:snapToGrid/>
        <w:spacing w:line="560" w:lineRule="exact"/>
        <w:ind w:right="0"/>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 xml:space="preserve">   四</w:t>
      </w:r>
      <w:r>
        <w:rPr>
          <w:rFonts w:hint="eastAsia" w:ascii="黑体" w:hAnsi="黑体" w:eastAsia="黑体" w:cs="黑体"/>
          <w:color w:val="000000" w:themeColor="text1"/>
          <w:sz w:val="32"/>
          <w:szCs w:val="32"/>
        </w:rPr>
        <w:t>、政府信息公开行政复议、行政诉讼情况</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outlineLvl w:val="9"/>
        <w:rPr>
          <w:color w:val="000000" w:themeColor="text1"/>
        </w:rPr>
      </w:pPr>
    </w:p>
    <w:tbl>
      <w:tblPr>
        <w:tblStyle w:val="7"/>
        <w:tblW w:w="96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3"/>
        <w:gridCol w:w="643"/>
        <w:gridCol w:w="643"/>
        <w:gridCol w:w="644"/>
        <w:gridCol w:w="642"/>
        <w:gridCol w:w="643"/>
        <w:gridCol w:w="643"/>
        <w:gridCol w:w="644"/>
        <w:gridCol w:w="645"/>
        <w:gridCol w:w="643"/>
        <w:gridCol w:w="644"/>
        <w:gridCol w:w="646"/>
        <w:gridCol w:w="645"/>
        <w:gridCol w:w="645"/>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321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行政复议</w:t>
            </w:r>
          </w:p>
        </w:tc>
        <w:tc>
          <w:tcPr>
            <w:tcW w:w="6445"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64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结果维持</w:t>
            </w:r>
          </w:p>
        </w:tc>
        <w:tc>
          <w:tcPr>
            <w:tcW w:w="64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结果</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纠正</w:t>
            </w:r>
          </w:p>
        </w:tc>
        <w:tc>
          <w:tcPr>
            <w:tcW w:w="64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其他</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结果</w:t>
            </w:r>
          </w:p>
        </w:tc>
        <w:tc>
          <w:tcPr>
            <w:tcW w:w="64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尚未</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未经复议直接起诉</w:t>
            </w:r>
          </w:p>
        </w:tc>
        <w:tc>
          <w:tcPr>
            <w:tcW w:w="3227"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4" w:hRule="atLeast"/>
          <w:jc w:val="center"/>
        </w:trPr>
        <w:tc>
          <w:tcPr>
            <w:tcW w:w="643"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43"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43"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ind w:right="0"/>
              <w:textAlignment w:val="auto"/>
              <w:outlineLvl w:val="9"/>
              <w:rPr>
                <w:rFonts w:hint="eastAsia" w:ascii="宋体"/>
                <w:color w:val="000000" w:themeColor="text1"/>
                <w:sz w:val="24"/>
                <w:szCs w:val="24"/>
              </w:rPr>
            </w:pP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结果</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维持</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结果</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纠正</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其他</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结果</w:t>
            </w:r>
          </w:p>
        </w:tc>
        <w:tc>
          <w:tcPr>
            <w:tcW w:w="6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尚未</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总计</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结果</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维持</w:t>
            </w:r>
          </w:p>
        </w:tc>
        <w:tc>
          <w:tcPr>
            <w:tcW w:w="64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结果</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纠正</w:t>
            </w:r>
          </w:p>
        </w:tc>
        <w:tc>
          <w:tcPr>
            <w:tcW w:w="6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其他</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结果</w:t>
            </w:r>
          </w:p>
        </w:tc>
        <w:tc>
          <w:tcPr>
            <w:tcW w:w="6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尚未</w:t>
            </w:r>
            <w:r>
              <w:rPr>
                <w:rFonts w:hint="eastAsia" w:ascii="宋体" w:hAnsi="宋体" w:eastAsia="宋体" w:cs="宋体"/>
                <w:color w:val="000000" w:themeColor="text1"/>
                <w:kern w:val="0"/>
                <w:sz w:val="20"/>
                <w:szCs w:val="20"/>
                <w:lang w:val="en-US" w:eastAsia="zh-CN"/>
              </w:rPr>
              <w:br w:type="textWrapping"/>
            </w:r>
            <w:r>
              <w:rPr>
                <w:rFonts w:hint="eastAsia" w:ascii="宋体" w:hAnsi="宋体" w:eastAsia="宋体" w:cs="宋体"/>
                <w:color w:val="000000" w:themeColor="text1"/>
                <w:kern w:val="0"/>
                <w:sz w:val="20"/>
                <w:szCs w:val="20"/>
                <w:lang w:val="en-US" w:eastAsia="zh-CN"/>
              </w:rPr>
              <w:t>审结</w:t>
            </w:r>
          </w:p>
        </w:tc>
        <w:tc>
          <w:tcPr>
            <w:tcW w:w="64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宋体" w:hAnsi="宋体" w:eastAsia="宋体" w:cs="宋体"/>
                <w:color w:val="000000" w:themeColor="text1"/>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eastAsia" w:ascii="黑体" w:hAnsi="宋体" w:eastAsia="黑体" w:cs="黑体"/>
                <w:color w:val="000000" w:themeColor="text1"/>
                <w:kern w:val="0"/>
                <w:sz w:val="20"/>
                <w:szCs w:val="20"/>
                <w:lang w:val="en-US" w:eastAsia="zh-CN"/>
              </w:rPr>
              <w:t>0</w:t>
            </w:r>
          </w:p>
        </w:tc>
        <w:tc>
          <w:tcPr>
            <w:tcW w:w="64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default" w:ascii="黑体" w:hAnsi="宋体" w:eastAsia="黑体" w:cs="黑体"/>
                <w:color w:val="000000" w:themeColor="text1"/>
                <w:kern w:val="0"/>
                <w:sz w:val="20"/>
                <w:szCs w:val="20"/>
                <w:lang w:val="en-US" w:eastAsia="zh-CN"/>
              </w:rPr>
              <w:t> </w:t>
            </w:r>
            <w:r>
              <w:rPr>
                <w:rFonts w:hint="eastAsia" w:ascii="黑体" w:hAnsi="宋体" w:eastAsia="黑体" w:cs="黑体"/>
                <w:color w:val="000000" w:themeColor="text1"/>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default" w:ascii="黑体" w:hAnsi="宋体" w:eastAsia="黑体" w:cs="黑体"/>
                <w:color w:val="000000" w:themeColor="text1"/>
                <w:kern w:val="0"/>
                <w:sz w:val="20"/>
                <w:szCs w:val="20"/>
                <w:lang w:val="en-US" w:eastAsia="zh-CN"/>
              </w:rPr>
              <w:t> </w:t>
            </w:r>
            <w:r>
              <w:rPr>
                <w:rFonts w:hint="eastAsia" w:ascii="黑体" w:hAnsi="宋体" w:eastAsia="黑体" w:cs="黑体"/>
                <w:color w:val="000000" w:themeColor="text1"/>
                <w:kern w:val="0"/>
                <w:sz w:val="20"/>
                <w:szCs w:val="20"/>
                <w:lang w:val="en-US" w:eastAsia="zh-CN"/>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default" w:ascii="黑体" w:hAnsi="宋体" w:eastAsia="黑体" w:cs="黑体"/>
                <w:color w:val="000000" w:themeColor="text1"/>
                <w:kern w:val="0"/>
                <w:sz w:val="20"/>
                <w:szCs w:val="20"/>
                <w:lang w:val="en-US" w:eastAsia="zh-CN"/>
              </w:rPr>
              <w:t> </w:t>
            </w:r>
            <w:r>
              <w:rPr>
                <w:rFonts w:hint="eastAsia" w:ascii="黑体" w:hAnsi="宋体" w:eastAsia="黑体" w:cs="黑体"/>
                <w:color w:val="000000" w:themeColor="text1"/>
                <w:kern w:val="0"/>
                <w:sz w:val="20"/>
                <w:szCs w:val="20"/>
                <w:lang w:val="en-US" w:eastAsia="zh-CN"/>
              </w:rPr>
              <w:t>0</w:t>
            </w:r>
          </w:p>
        </w:tc>
        <w:tc>
          <w:tcPr>
            <w:tcW w:w="646"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default" w:ascii="黑体" w:hAnsi="宋体" w:eastAsia="黑体" w:cs="黑体"/>
                <w:color w:val="000000" w:themeColor="text1"/>
                <w:kern w:val="0"/>
                <w:sz w:val="20"/>
                <w:szCs w:val="20"/>
                <w:lang w:val="en-US" w:eastAsia="zh-CN"/>
              </w:rPr>
              <w:t> </w:t>
            </w:r>
            <w:r>
              <w:rPr>
                <w:rFonts w:hint="eastAsia" w:ascii="黑体" w:hAnsi="宋体" w:eastAsia="黑体" w:cs="黑体"/>
                <w:color w:val="000000" w:themeColor="text1"/>
                <w:kern w:val="0"/>
                <w:sz w:val="20"/>
                <w:szCs w:val="20"/>
                <w:lang w:val="en-US" w:eastAsia="zh-CN"/>
              </w:rPr>
              <w:t>0</w:t>
            </w:r>
          </w:p>
        </w:tc>
        <w:tc>
          <w:tcPr>
            <w:tcW w:w="64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rPr>
            </w:pPr>
            <w:r>
              <w:rPr>
                <w:rFonts w:hint="default" w:ascii="黑体" w:hAnsi="宋体" w:eastAsia="黑体" w:cs="黑体"/>
                <w:color w:val="000000" w:themeColor="text1"/>
                <w:kern w:val="0"/>
                <w:sz w:val="20"/>
                <w:szCs w:val="20"/>
                <w:lang w:val="en-US" w:eastAsia="zh-CN"/>
              </w:rPr>
              <w:t> </w:t>
            </w:r>
            <w:r>
              <w:rPr>
                <w:rFonts w:hint="eastAsia" w:ascii="黑体" w:hAnsi="宋体" w:eastAsia="黑体" w:cs="黑体"/>
                <w:color w:val="000000" w:themeColor="text1"/>
                <w:kern w:val="0"/>
                <w:sz w:val="20"/>
                <w:szCs w:val="20"/>
                <w:lang w:val="en-US" w:eastAsia="zh-CN"/>
              </w:rPr>
              <w:t>0</w:t>
            </w:r>
          </w:p>
        </w:tc>
        <w:tc>
          <w:tcPr>
            <w:tcW w:w="64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firstLine="0"/>
              <w:jc w:val="center"/>
              <w:textAlignment w:val="auto"/>
              <w:outlineLvl w:val="9"/>
              <w:rPr>
                <w:color w:val="000000" w:themeColor="text1"/>
                <w:lang w:val="en-US"/>
              </w:rPr>
            </w:pPr>
            <w:r>
              <w:rPr>
                <w:rFonts w:hint="eastAsia" w:ascii="黑体" w:hAnsi="宋体" w:eastAsia="黑体" w:cs="黑体"/>
                <w:color w:val="000000" w:themeColor="text1"/>
                <w:kern w:val="0"/>
                <w:sz w:val="20"/>
                <w:szCs w:val="20"/>
                <w:lang w:val="en-US" w:eastAsia="zh-CN"/>
              </w:rPr>
              <w:t>0</w:t>
            </w:r>
          </w:p>
        </w:tc>
        <w:tc>
          <w:tcPr>
            <w:tcW w:w="647" w:type="dxa"/>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ind w:right="0"/>
              <w:jc w:val="center"/>
              <w:textAlignment w:val="auto"/>
              <w:outlineLvl w:val="9"/>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0</w:t>
            </w:r>
          </w:p>
        </w:tc>
      </w:tr>
    </w:tbl>
    <w:p>
      <w:pPr>
        <w:widowControl/>
        <w:wordWrap/>
        <w:adjustRightInd/>
        <w:snapToGrid/>
        <w:spacing w:line="560" w:lineRule="exact"/>
        <w:ind w:right="0"/>
        <w:jc w:val="left"/>
        <w:textAlignment w:val="auto"/>
        <w:outlineLvl w:val="9"/>
        <w:rPr>
          <w:color w:val="000000" w:themeColor="text1"/>
        </w:rPr>
      </w:pPr>
    </w:p>
    <w:p>
      <w:pPr>
        <w:pStyle w:val="6"/>
        <w:widowControl/>
        <w:numPr>
          <w:ilvl w:val="0"/>
          <w:numId w:val="2"/>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772" w:leftChars="0" w:right="0" w:firstLine="0" w:firstLineChars="0"/>
        <w:jc w:val="both"/>
        <w:textAlignment w:val="auto"/>
        <w:outlineLvl w:val="9"/>
        <w:rPr>
          <w:rFonts w:ascii="黑体" w:hAnsi="黑体" w:eastAsia="黑体" w:cs="宋体"/>
          <w:color w:val="000000" w:themeColor="text1"/>
          <w:spacing w:val="8"/>
          <w:kern w:val="0"/>
          <w:sz w:val="32"/>
          <w:szCs w:val="32"/>
        </w:rPr>
      </w:pPr>
      <w:r>
        <w:rPr>
          <w:rFonts w:ascii="黑体" w:hAnsi="黑体" w:eastAsia="黑体" w:cs="宋体"/>
          <w:color w:val="000000" w:themeColor="text1"/>
          <w:spacing w:val="8"/>
          <w:kern w:val="0"/>
          <w:sz w:val="32"/>
          <w:szCs w:val="32"/>
        </w:rPr>
        <w:t>存在的主要问题及改进情况</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675"/>
        <w:jc w:val="left"/>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2021年，前门街道政府信息公开工作取得了一定成效，但依然存在对政府信息公开工作的重视不够，社会救助等重点领域信息发布不及时，工作人员专业性有待提高等问题。</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675"/>
        <w:jc w:val="left"/>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2022年，街道将从以下几个方面进一步提升政府信息公开工作。一是完善工作机制，层层落实责任，增强各科室主动公开的意识，保证信息公开的主动性；二是加大信息公开工作督促检查力度，发现问题及时整改，确保信息公开的质量和效率；三是加强对工作人员的培训，提升工作人员业务能力，提高政府信</w:t>
      </w:r>
      <w:bookmarkStart w:id="0" w:name="_GoBack"/>
      <w:bookmarkEnd w:id="0"/>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息公开水平。</w:t>
      </w:r>
    </w:p>
    <w:p>
      <w:pPr>
        <w:widowControl/>
        <w:wordWrap/>
        <w:adjustRightInd/>
        <w:snapToGrid/>
        <w:spacing w:line="560" w:lineRule="exact"/>
        <w:ind w:right="0" w:firstLine="675"/>
        <w:jc w:val="left"/>
        <w:textAlignment w:val="auto"/>
        <w:outlineLvl w:val="9"/>
        <w:rPr>
          <w:rFonts w:ascii="宋体" w:hAnsi="宋体" w:cs="宋体"/>
          <w:color w:val="000000" w:themeColor="text1"/>
          <w:spacing w:val="8"/>
          <w:kern w:val="0"/>
          <w:sz w:val="32"/>
          <w:szCs w:val="32"/>
        </w:rPr>
      </w:pPr>
      <w:r>
        <w:rPr>
          <w:rFonts w:ascii="黑体" w:hAnsi="黑体" w:eastAsia="黑体" w:cs="宋体"/>
          <w:color w:val="000000" w:themeColor="text1"/>
          <w:spacing w:val="8"/>
          <w:kern w:val="0"/>
          <w:sz w:val="32"/>
          <w:szCs w:val="32"/>
        </w:rPr>
        <w:t>六、其他需要报告的事项</w:t>
      </w:r>
    </w:p>
    <w:p>
      <w:pPr>
        <w:wordWrap/>
        <w:adjustRightInd/>
        <w:snapToGrid/>
        <w:spacing w:line="560" w:lineRule="exact"/>
        <w:ind w:right="0" w:firstLine="672" w:firstLineChars="200"/>
        <w:textAlignment w:val="auto"/>
        <w:outlineLvl w:val="9"/>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2021年度，前门街道发出收费通知的件数和总金额以及实际收取的总金额均为0。</w:t>
      </w: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pStyle w:val="2"/>
        <w:wordWrap/>
        <w:adjustRightInd/>
        <w:snapToGrid/>
        <w:spacing w:line="560" w:lineRule="exact"/>
        <w:ind w:right="0"/>
        <w:textAlignment w:val="auto"/>
        <w:outlineLvl w:val="9"/>
        <w:rPr>
          <w:rFonts w:hint="eastAsia"/>
          <w:color w:val="000000" w:themeColor="text1"/>
        </w:rPr>
      </w:pPr>
    </w:p>
    <w:p>
      <w:pPr>
        <w:numPr>
          <w:ilvl w:val="0"/>
          <w:numId w:val="0"/>
        </w:numPr>
        <w:wordWrap/>
        <w:adjustRightInd/>
        <w:snapToGrid/>
        <w:spacing w:line="560" w:lineRule="exact"/>
        <w:ind w:right="0" w:firstLine="640"/>
        <w:jc w:val="both"/>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w:t>
      </w:r>
    </w:p>
    <w:p>
      <w:pPr>
        <w:wordWrap/>
        <w:adjustRightInd/>
        <w:snapToGrid/>
        <w:spacing w:line="560" w:lineRule="exact"/>
        <w:ind w:right="0"/>
        <w:jc w:val="both"/>
        <w:textAlignment w:val="auto"/>
        <w:outlineLvl w:val="9"/>
        <w:rPr>
          <w:rFonts w:hint="eastAsia" w:ascii="仿宋_GB2312" w:hAnsi="仿宋_GB2312" w:eastAsia="仿宋_GB2312" w:cs="仿宋_GB2312"/>
          <w:color w:val="000000" w:themeColor="text1"/>
          <w:sz w:val="32"/>
          <w:szCs w:val="32"/>
          <w:lang w:val="en-US" w:eastAsia="zh-CN"/>
        </w:rPr>
      </w:pPr>
    </w:p>
    <w:p>
      <w:pPr>
        <w:pStyle w:val="2"/>
        <w:wordWrap/>
        <w:adjustRightInd/>
        <w:snapToGrid/>
        <w:spacing w:line="560" w:lineRule="exact"/>
        <w:ind w:right="0"/>
        <w:textAlignment w:val="auto"/>
        <w:outlineLvl w:val="9"/>
        <w:rPr>
          <w:rFonts w:hint="eastAsia" w:ascii="仿宋" w:hAnsi="仿宋" w:eastAsia="仿宋" w:cs="仿宋_GB2312"/>
          <w:color w:val="000000" w:themeColor="text1"/>
          <w:sz w:val="32"/>
          <w:szCs w:val="32"/>
        </w:rPr>
      </w:pPr>
    </w:p>
    <w:sectPr>
      <w:footerReference r:id="rId3"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A76519-F746-4696-B4DF-72EA8BCE6C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0BC5BD-2125-4926-A9E9-C8B140458266}"/>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D6E50F74-613D-401E-93E3-559F13DF94CF}"/>
  </w:font>
  <w:font w:name="仿宋_GB2312">
    <w:altName w:val="仿宋"/>
    <w:panose1 w:val="02010609030101010101"/>
    <w:charset w:val="86"/>
    <w:family w:val="auto"/>
    <w:pitch w:val="default"/>
    <w:sig w:usb0="00000000" w:usb1="00000000" w:usb2="00000000" w:usb3="00000000" w:csb0="00040000" w:csb1="00000000"/>
    <w:embedRegular r:id="rId4" w:fontKey="{C2091AD5-64CE-44D8-8D35-5E1D41D93F53}"/>
  </w:font>
  <w:font w:name="仿宋">
    <w:panose1 w:val="02010609060101010101"/>
    <w:charset w:val="86"/>
    <w:family w:val="auto"/>
    <w:pitch w:val="default"/>
    <w:sig w:usb0="800002BF" w:usb1="38CF7CFA" w:usb2="00000016" w:usb3="00000000" w:csb0="00040001" w:csb1="00000000"/>
    <w:embedRegular r:id="rId5" w:fontKey="{8ED29D91-0D11-4DB4-B115-CC9B775993AD}"/>
  </w:font>
  <w:font w:name="微软雅黑">
    <w:panose1 w:val="020B0503020204020204"/>
    <w:charset w:val="86"/>
    <w:family w:val="auto"/>
    <w:pitch w:val="default"/>
    <w:sig w:usb0="80000287" w:usb1="2ACF3C50" w:usb2="00000016" w:usb3="00000000" w:csb0="0004001F" w:csb1="00000000"/>
    <w:embedRegular r:id="rId6" w:fontKey="{D7C5E9A4-35C7-4C71-8A49-55F6C742479A}"/>
  </w:font>
  <w:font w:name="楷体">
    <w:panose1 w:val="02010609060101010101"/>
    <w:charset w:val="86"/>
    <w:family w:val="auto"/>
    <w:pitch w:val="default"/>
    <w:sig w:usb0="800002BF" w:usb1="38CF7CFA" w:usb2="00000016" w:usb3="00000000" w:csb0="00040001" w:csb1="00000000"/>
    <w:embedRegular r:id="rId7" w:fontKey="{8CA31873-B09C-47A1-826B-889C3641C76A}"/>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XFfPDAQAAjw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zpywdOGX798uP35dfn5l&#10;75I9fcCKuh7DA0wZUpi0Di3Y9CYVbMiWnq+WqiEyScXlerVel+S2pLM5IZzi6fMAGO+VtywFNQe6&#10;s2ylOH3AOLbOLWma83faGKqLyri/CoSZKkViPHJMURz2w0R875szqe3pumvuaLs5M+8duZk2Yw5g&#10;DvZzcAygDx1RW2ZeGG6PkUhkbmnCCDsNpnvK6qadSovwZ567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JcV88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B4D61"/>
    <w:multiLevelType w:val="singleLevel"/>
    <w:tmpl w:val="1A5B4D61"/>
    <w:lvl w:ilvl="0" w:tentative="0">
      <w:start w:val="4"/>
      <w:numFmt w:val="chineseCounting"/>
      <w:suff w:val="nothing"/>
      <w:lvlText w:val="（%1）"/>
      <w:lvlJc w:val="left"/>
      <w:pPr>
        <w:ind w:left="596" w:leftChars="0" w:firstLine="0" w:firstLineChars="0"/>
      </w:pPr>
      <w:rPr>
        <w:rFonts w:hint="eastAsia"/>
      </w:rPr>
    </w:lvl>
  </w:abstractNum>
  <w:abstractNum w:abstractNumId="1">
    <w:nsid w:val="1BDB5FAB"/>
    <w:multiLevelType w:val="singleLevel"/>
    <w:tmpl w:val="1BDB5FAB"/>
    <w:lvl w:ilvl="0" w:tentative="0">
      <w:start w:val="5"/>
      <w:numFmt w:val="chineseCounting"/>
      <w:suff w:val="nothing"/>
      <w:lvlText w:val="%1、"/>
      <w:lvlJc w:val="left"/>
      <w:pPr>
        <w:ind w:left="772"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830495"/>
    <w:rsid w:val="04B871DC"/>
    <w:rsid w:val="04C523E5"/>
    <w:rsid w:val="05927F9F"/>
    <w:rsid w:val="061043AF"/>
    <w:rsid w:val="063D400F"/>
    <w:rsid w:val="07173589"/>
    <w:rsid w:val="085B374C"/>
    <w:rsid w:val="09BA5C05"/>
    <w:rsid w:val="0A5449BD"/>
    <w:rsid w:val="0B6017B9"/>
    <w:rsid w:val="0C6C41D1"/>
    <w:rsid w:val="0D761226"/>
    <w:rsid w:val="0DB23146"/>
    <w:rsid w:val="0EE37632"/>
    <w:rsid w:val="10687F23"/>
    <w:rsid w:val="10F70AE6"/>
    <w:rsid w:val="11935B60"/>
    <w:rsid w:val="11EC0FF2"/>
    <w:rsid w:val="123654D6"/>
    <w:rsid w:val="125664A3"/>
    <w:rsid w:val="12DA4F7E"/>
    <w:rsid w:val="131749A9"/>
    <w:rsid w:val="14116779"/>
    <w:rsid w:val="15042E03"/>
    <w:rsid w:val="16176ECF"/>
    <w:rsid w:val="168C2214"/>
    <w:rsid w:val="176075B9"/>
    <w:rsid w:val="186F5E9F"/>
    <w:rsid w:val="19B74C1D"/>
    <w:rsid w:val="1A826A4F"/>
    <w:rsid w:val="1C222D36"/>
    <w:rsid w:val="1C47275C"/>
    <w:rsid w:val="1C850733"/>
    <w:rsid w:val="1DBE6FEE"/>
    <w:rsid w:val="1DE37776"/>
    <w:rsid w:val="200B59E9"/>
    <w:rsid w:val="2039313C"/>
    <w:rsid w:val="20DC78CD"/>
    <w:rsid w:val="20F4351F"/>
    <w:rsid w:val="21EE06C0"/>
    <w:rsid w:val="220E5FDF"/>
    <w:rsid w:val="23B53941"/>
    <w:rsid w:val="26B92096"/>
    <w:rsid w:val="26DC5ACE"/>
    <w:rsid w:val="275C569C"/>
    <w:rsid w:val="28EB63A0"/>
    <w:rsid w:val="29284F7F"/>
    <w:rsid w:val="293D7A75"/>
    <w:rsid w:val="293F10BA"/>
    <w:rsid w:val="29F9234A"/>
    <w:rsid w:val="2AA7627A"/>
    <w:rsid w:val="2B8A420A"/>
    <w:rsid w:val="2B9844FA"/>
    <w:rsid w:val="2D047420"/>
    <w:rsid w:val="2D35073C"/>
    <w:rsid w:val="2D7757F3"/>
    <w:rsid w:val="2F0306E1"/>
    <w:rsid w:val="2F2B43BA"/>
    <w:rsid w:val="30806B9E"/>
    <w:rsid w:val="316B1BA5"/>
    <w:rsid w:val="31B00187"/>
    <w:rsid w:val="33A10D3B"/>
    <w:rsid w:val="341E1C4F"/>
    <w:rsid w:val="34B11EE1"/>
    <w:rsid w:val="35733E39"/>
    <w:rsid w:val="35DC5CE0"/>
    <w:rsid w:val="35E04767"/>
    <w:rsid w:val="36996009"/>
    <w:rsid w:val="37242B85"/>
    <w:rsid w:val="37342E1F"/>
    <w:rsid w:val="379F3AAA"/>
    <w:rsid w:val="37B82A79"/>
    <w:rsid w:val="37BD57D1"/>
    <w:rsid w:val="37D261A1"/>
    <w:rsid w:val="38477332"/>
    <w:rsid w:val="39C84EDD"/>
    <w:rsid w:val="3A3D4E9C"/>
    <w:rsid w:val="3BA06262"/>
    <w:rsid w:val="3C8342D6"/>
    <w:rsid w:val="3D0059A4"/>
    <w:rsid w:val="3F8024B0"/>
    <w:rsid w:val="3F827426"/>
    <w:rsid w:val="408A4515"/>
    <w:rsid w:val="40B835FD"/>
    <w:rsid w:val="41336AA7"/>
    <w:rsid w:val="41A82BB0"/>
    <w:rsid w:val="422F2E21"/>
    <w:rsid w:val="43080D17"/>
    <w:rsid w:val="44F32561"/>
    <w:rsid w:val="46957D4E"/>
    <w:rsid w:val="472D6E53"/>
    <w:rsid w:val="47B972B3"/>
    <w:rsid w:val="48624CD1"/>
    <w:rsid w:val="4A372797"/>
    <w:rsid w:val="4AA71688"/>
    <w:rsid w:val="4B1A6144"/>
    <w:rsid w:val="4B1D1510"/>
    <w:rsid w:val="4C6F71B7"/>
    <w:rsid w:val="4CB06383"/>
    <w:rsid w:val="4D0E772B"/>
    <w:rsid w:val="4E7735C7"/>
    <w:rsid w:val="4F1C6F6B"/>
    <w:rsid w:val="504D50C7"/>
    <w:rsid w:val="50621E6E"/>
    <w:rsid w:val="51604212"/>
    <w:rsid w:val="51FD0EA1"/>
    <w:rsid w:val="52C4117D"/>
    <w:rsid w:val="52D43103"/>
    <w:rsid w:val="52F371A2"/>
    <w:rsid w:val="554524F7"/>
    <w:rsid w:val="55805A3F"/>
    <w:rsid w:val="55F95841"/>
    <w:rsid w:val="577D7200"/>
    <w:rsid w:val="58E20764"/>
    <w:rsid w:val="59FA0BA4"/>
    <w:rsid w:val="5C85343F"/>
    <w:rsid w:val="5E011730"/>
    <w:rsid w:val="5EAB324C"/>
    <w:rsid w:val="5FB55714"/>
    <w:rsid w:val="60177697"/>
    <w:rsid w:val="603F1D7B"/>
    <w:rsid w:val="60EA3D13"/>
    <w:rsid w:val="60F2511B"/>
    <w:rsid w:val="633C39DB"/>
    <w:rsid w:val="63847E28"/>
    <w:rsid w:val="64972B08"/>
    <w:rsid w:val="65432745"/>
    <w:rsid w:val="66D7084A"/>
    <w:rsid w:val="67037D1B"/>
    <w:rsid w:val="671C17CC"/>
    <w:rsid w:val="674C7846"/>
    <w:rsid w:val="67716B82"/>
    <w:rsid w:val="683F3FB4"/>
    <w:rsid w:val="68917716"/>
    <w:rsid w:val="68B1527B"/>
    <w:rsid w:val="69D46E61"/>
    <w:rsid w:val="6B4C7395"/>
    <w:rsid w:val="6BBF7C2A"/>
    <w:rsid w:val="6D0E597B"/>
    <w:rsid w:val="6DC72BAB"/>
    <w:rsid w:val="6E8C5810"/>
    <w:rsid w:val="6EE11DA9"/>
    <w:rsid w:val="6F22379B"/>
    <w:rsid w:val="6FBE2D1F"/>
    <w:rsid w:val="6FFA02F7"/>
    <w:rsid w:val="70222C83"/>
    <w:rsid w:val="71B5409B"/>
    <w:rsid w:val="743405CC"/>
    <w:rsid w:val="74610F82"/>
    <w:rsid w:val="75342D58"/>
    <w:rsid w:val="77776320"/>
    <w:rsid w:val="77921B28"/>
    <w:rsid w:val="79EA0AFF"/>
    <w:rsid w:val="7BDF75D6"/>
    <w:rsid w:val="7C666463"/>
    <w:rsid w:val="7C8E6D8A"/>
    <w:rsid w:val="7E5958EF"/>
    <w:rsid w:val="7F2A644F"/>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page number"/>
    <w:basedOn w:val="9"/>
    <w:unhideWhenUsed/>
    <w:qFormat/>
    <w:uiPriority w:val="99"/>
  </w:style>
  <w:style w:type="character" w:styleId="12">
    <w:name w:val="Hyperlink"/>
    <w:basedOn w:val="9"/>
    <w:unhideWhenUsed/>
    <w:qFormat/>
    <w:uiPriority w:val="0"/>
    <w:rPr>
      <w:color w:val="000000"/>
      <w:u w:val="none"/>
    </w:r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9"/>
    <w:link w:val="5"/>
    <w:qFormat/>
    <w:uiPriority w:val="99"/>
    <w:rPr>
      <w:rFonts w:ascii="Times New Roman" w:hAnsi="Times New Roman" w:eastAsia="宋体" w:cs="Times New Roman"/>
      <w:sz w:val="18"/>
      <w:szCs w:val="18"/>
    </w:rPr>
  </w:style>
  <w:style w:type="character" w:customStyle="1" w:styleId="16">
    <w:name w:val="页脚 Char"/>
    <w:basedOn w:val="9"/>
    <w:link w:val="4"/>
    <w:qFormat/>
    <w:uiPriority w:val="99"/>
    <w:rPr>
      <w:rFonts w:ascii="Times New Roman" w:hAnsi="Times New Roman" w:eastAsia="宋体" w:cs="Times New Roman"/>
      <w:sz w:val="18"/>
      <w:szCs w:val="18"/>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HONEY.XIAO</cp:lastModifiedBy>
  <cp:lastPrinted>2019-10-11T08:27:00Z</cp:lastPrinted>
  <dcterms:modified xsi:type="dcterms:W3CDTF">2022-01-20T09:12:34Z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CE2017BDE82D4BB4951D6E636C9299BB</vt:lpwstr>
  </property>
</Properties>
</file>