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both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附件3</w:t>
      </w:r>
    </w:p>
    <w:p>
      <w:pPr>
        <w:spacing w:line="54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区投资促进服务中心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2020年政府信息</w:t>
      </w:r>
    </w:p>
    <w:p>
      <w:pPr>
        <w:spacing w:line="54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公开工作年度报告</w:t>
      </w:r>
    </w:p>
    <w:p>
      <w:pPr>
        <w:spacing w:line="560" w:lineRule="exact"/>
        <w:jc w:val="center"/>
        <w:rPr>
          <w:rFonts w:hint="default" w:ascii="Times New Roman" w:hAnsi="Times New Roman" w:cs="Times New Roman"/>
          <w:sz w:val="44"/>
          <w:szCs w:val="44"/>
        </w:rPr>
      </w:pPr>
    </w:p>
    <w:p>
      <w:pPr>
        <w:widowControl/>
        <w:spacing w:line="560" w:lineRule="exact"/>
        <w:jc w:val="left"/>
        <w:rPr>
          <w:rFonts w:hint="default" w:ascii="Times New Roman" w:hAnsi="Times New Roman" w:eastAsia="仿宋_GB2312" w:cs="Times New Roman"/>
          <w:spacing w:val="8"/>
          <w:kern w:val="0"/>
          <w:sz w:val="32"/>
          <w:szCs w:val="32"/>
        </w:rPr>
      </w:pPr>
      <w:r>
        <w:rPr>
          <w:rFonts w:hint="default" w:ascii="Times New Roman" w:hAnsi="Times New Roman" w:eastAsia="微软雅黑" w:cs="Times New Roman"/>
          <w:color w:val="404040"/>
          <w:kern w:val="0"/>
          <w:sz w:val="24"/>
        </w:rPr>
        <w:t>　</w:t>
      </w:r>
      <w:r>
        <w:rPr>
          <w:rFonts w:hint="default" w:ascii="Times New Roman" w:hAnsi="Times New Roman" w:eastAsia="微软雅黑" w:cs="Times New Roman"/>
          <w:color w:val="404040"/>
          <w:kern w:val="0"/>
          <w:sz w:val="32"/>
          <w:szCs w:val="32"/>
        </w:rPr>
        <w:t xml:space="preserve">   </w:t>
      </w:r>
      <w:r>
        <w:rPr>
          <w:rFonts w:hint="default" w:ascii="Times New Roman" w:hAnsi="Times New Roman" w:eastAsia="仿宋_GB2312" w:cs="Times New Roman"/>
          <w:spacing w:val="8"/>
          <w:kern w:val="0"/>
          <w:sz w:val="32"/>
          <w:szCs w:val="32"/>
        </w:rPr>
        <w:t>依据《中华人民共和国政府信息公开条例》(以下简称《政府信息公开条例》)第五十条规定，编制本报告。</w:t>
      </w:r>
    </w:p>
    <w:p>
      <w:pPr>
        <w:widowControl/>
        <w:numPr>
          <w:ilvl w:val="0"/>
          <w:numId w:val="1"/>
        </w:numPr>
        <w:spacing w:line="560" w:lineRule="exact"/>
        <w:ind w:firstLine="672" w:firstLineChars="200"/>
        <w:jc w:val="left"/>
        <w:rPr>
          <w:rFonts w:hint="default" w:ascii="Times New Roman" w:hAnsi="Times New Roman" w:eastAsia="黑体" w:cs="Times New Roman"/>
          <w:spacing w:val="8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spacing w:val="8"/>
          <w:kern w:val="0"/>
          <w:sz w:val="32"/>
          <w:szCs w:val="32"/>
        </w:rPr>
        <w:t>总体情况</w:t>
      </w:r>
    </w:p>
    <w:p>
      <w:pPr>
        <w:widowControl/>
        <w:numPr>
          <w:ilvl w:val="0"/>
          <w:numId w:val="0"/>
        </w:numPr>
        <w:spacing w:line="56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spacing w:val="8"/>
          <w:kern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为贯彻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落实《中华人民共和国政府信息公开条例》(国务院令第711号)第49条、第50条法定要求，根据国务院办公厅政府信息与政务公开办公室《中华人民共和国政府信息公开工作年度报告格式(试行)》(国办公开办函〔2019〕60号)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,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按照北京市和东城区部署，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结合本区《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关于做好本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 xml:space="preserve">区 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20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年政府信息公开工作年度报告编制和公布有关工作的通知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》要求，东城</w:t>
      </w:r>
      <w:r>
        <w:rPr>
          <w:rFonts w:hint="default" w:ascii="Times New Roman" w:hAnsi="Times New Roman" w:eastAsia="仿宋_GB2312" w:cs="Times New Roman"/>
          <w:spacing w:val="8"/>
          <w:kern w:val="0"/>
          <w:sz w:val="32"/>
          <w:szCs w:val="32"/>
          <w:lang w:eastAsia="zh-CN"/>
        </w:rPr>
        <w:t>区投资促进服务中心自</w:t>
      </w:r>
      <w:r>
        <w:rPr>
          <w:rFonts w:hint="default" w:ascii="Times New Roman" w:hAnsi="Times New Roman" w:eastAsia="仿宋_GB2312" w:cs="Times New Roman"/>
          <w:spacing w:val="8"/>
          <w:kern w:val="0"/>
          <w:sz w:val="32"/>
          <w:szCs w:val="32"/>
          <w:lang w:val="en-US" w:eastAsia="zh-CN"/>
        </w:rPr>
        <w:t>2020年1月正式成立以来，认真贯彻落实区委区政府关于信息公开相关要求，安排专人负责政务公开有关工作，第一时间在数字东城网站公开机构职责、领导介绍、机构设置等信息，在“投资东城”网站、“投资东城”微信公众号公开单位地址和电话等信息，及时接听咨询电话，认真做好答复解释工作，积极参加政务公开学习培训，2020年政务公开相关工作完成情况良好。现将有关情况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报告如下：</w:t>
      </w:r>
      <w:bookmarkStart w:id="0" w:name="_GoBack"/>
      <w:bookmarkEnd w:id="0"/>
    </w:p>
    <w:p>
      <w:pPr>
        <w:spacing w:line="560" w:lineRule="exact"/>
        <w:ind w:firstLine="640" w:firstLineChars="200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二、主动公开政府信息情况</w:t>
      </w:r>
    </w:p>
    <w:tbl>
      <w:tblPr>
        <w:tblStyle w:val="4"/>
        <w:tblW w:w="8613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2"/>
        <w:gridCol w:w="1230"/>
        <w:gridCol w:w="2175"/>
        <w:gridCol w:w="1887"/>
        <w:gridCol w:w="174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61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5B9BD5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第二十条第（一）项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8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9CC2E5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信息内容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BDD6E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本年新制作数量</w:t>
            </w:r>
          </w:p>
        </w:tc>
        <w:tc>
          <w:tcPr>
            <w:tcW w:w="1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BDD6E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本年新公开数量</w:t>
            </w:r>
          </w:p>
        </w:tc>
        <w:tc>
          <w:tcPr>
            <w:tcW w:w="1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BDD6E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对外公开总数量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8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9CC2E5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规章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1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1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8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9CC2E5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规范性文件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1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1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61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5B9BD5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第二十条第（五）项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8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9CC2E5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信息内容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BDD6E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上一年项目数量</w:t>
            </w:r>
          </w:p>
        </w:tc>
        <w:tc>
          <w:tcPr>
            <w:tcW w:w="1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BDD6E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本年增/减</w:t>
            </w:r>
          </w:p>
        </w:tc>
        <w:tc>
          <w:tcPr>
            <w:tcW w:w="1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BDD6E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处理决定数量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8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9CC2E5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行政许可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1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1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72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9CC2E5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其他对外管理服务事项</w:t>
            </w:r>
          </w:p>
        </w:tc>
        <w:tc>
          <w:tcPr>
            <w:tcW w:w="123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9CC2E5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行政检查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1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1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72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9CC2E5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23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9CC2E5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行政确认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1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1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61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5B9BD5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第二十条第（六）项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8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9CC2E5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信息内容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BDD6E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上一年项目数量</w:t>
            </w:r>
          </w:p>
        </w:tc>
        <w:tc>
          <w:tcPr>
            <w:tcW w:w="1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BDD6E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本年增/减</w:t>
            </w:r>
          </w:p>
        </w:tc>
        <w:tc>
          <w:tcPr>
            <w:tcW w:w="1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BDD6E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处理决定数量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8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9CC2E5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行政处罚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1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1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8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9CC2E5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行政强制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1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1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613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5B9BD5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第二十条第（八）项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802" w:type="dxa"/>
            <w:gridSpan w:val="2"/>
            <w:tcBorders>
              <w:top w:val="single" w:color="000000" w:sz="8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9CC2E5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信息内容</w:t>
            </w:r>
          </w:p>
        </w:tc>
        <w:tc>
          <w:tcPr>
            <w:tcW w:w="2175" w:type="dxa"/>
            <w:tcBorders>
              <w:top w:val="single" w:color="000000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BDD6E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上一年项目数量</w:t>
            </w:r>
          </w:p>
        </w:tc>
        <w:tc>
          <w:tcPr>
            <w:tcW w:w="3636" w:type="dxa"/>
            <w:gridSpan w:val="2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BDD6E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本年增/减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8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9CC2E5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行政事业性收费</w:t>
            </w:r>
          </w:p>
        </w:tc>
        <w:tc>
          <w:tcPr>
            <w:tcW w:w="2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36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61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5B9BD5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第二十条第（九）项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8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9CC2E5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信息内容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BDD6E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采购项目数量</w:t>
            </w:r>
          </w:p>
        </w:tc>
        <w:tc>
          <w:tcPr>
            <w:tcW w:w="36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BDD6E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采购总金额（万元，保留四位小数）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8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9CC2E5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政府集中采购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2</w:t>
            </w:r>
          </w:p>
        </w:tc>
        <w:tc>
          <w:tcPr>
            <w:tcW w:w="36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50.9750</w:t>
            </w:r>
          </w:p>
        </w:tc>
      </w:tr>
    </w:tbl>
    <w:p>
      <w:pPr>
        <w:spacing w:line="560" w:lineRule="exact"/>
        <w:ind w:firstLine="640" w:firstLineChars="200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三、收到和处理政府信息公开申请情况</w:t>
      </w:r>
    </w:p>
    <w:tbl>
      <w:tblPr>
        <w:tblStyle w:val="4"/>
        <w:tblW w:w="9032" w:type="dxa"/>
        <w:jc w:val="center"/>
        <w:tblInd w:w="-8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99"/>
        <w:gridCol w:w="856"/>
        <w:gridCol w:w="2957"/>
        <w:gridCol w:w="709"/>
        <w:gridCol w:w="709"/>
        <w:gridCol w:w="709"/>
        <w:gridCol w:w="708"/>
        <w:gridCol w:w="709"/>
        <w:gridCol w:w="567"/>
        <w:gridCol w:w="7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2" w:hRule="atLeast"/>
          <w:jc w:val="center"/>
        </w:trPr>
        <w:tc>
          <w:tcPr>
            <w:tcW w:w="4212" w:type="dxa"/>
            <w:gridSpan w:val="3"/>
            <w:vMerge w:val="restart"/>
            <w:shd w:val="clear" w:color="auto" w:fill="5B9B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（本列数据的勾稽关系为：第一项加第二项之和，等于第三项加第四项之和）</w:t>
            </w:r>
          </w:p>
        </w:tc>
        <w:tc>
          <w:tcPr>
            <w:tcW w:w="4820" w:type="dxa"/>
            <w:gridSpan w:val="7"/>
            <w:shd w:val="clear" w:color="auto" w:fill="5B9B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申请人情况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4" w:hRule="atLeast"/>
          <w:jc w:val="center"/>
        </w:trPr>
        <w:tc>
          <w:tcPr>
            <w:tcW w:w="4212" w:type="dxa"/>
            <w:gridSpan w:val="3"/>
            <w:vMerge w:val="continue"/>
            <w:shd w:val="clear" w:color="auto" w:fill="5B9B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09" w:type="dxa"/>
            <w:vMerge w:val="restart"/>
            <w:shd w:val="clear" w:color="auto" w:fill="5B9B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自然人</w:t>
            </w:r>
          </w:p>
        </w:tc>
        <w:tc>
          <w:tcPr>
            <w:tcW w:w="3402" w:type="dxa"/>
            <w:gridSpan w:val="5"/>
            <w:shd w:val="clear" w:color="auto" w:fill="5B9B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法人或其他组织</w:t>
            </w:r>
          </w:p>
        </w:tc>
        <w:tc>
          <w:tcPr>
            <w:tcW w:w="709" w:type="dxa"/>
            <w:vMerge w:val="restart"/>
            <w:shd w:val="clear" w:color="auto" w:fill="5B9B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4212" w:type="dxa"/>
            <w:gridSpan w:val="3"/>
            <w:vMerge w:val="continue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09" w:type="dxa"/>
            <w:vMerge w:val="continue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5B9B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商业企业</w:t>
            </w:r>
          </w:p>
        </w:tc>
        <w:tc>
          <w:tcPr>
            <w:tcW w:w="709" w:type="dxa"/>
            <w:shd w:val="clear" w:color="auto" w:fill="5B9B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科研机构</w:t>
            </w:r>
          </w:p>
        </w:tc>
        <w:tc>
          <w:tcPr>
            <w:tcW w:w="708" w:type="dxa"/>
            <w:shd w:val="clear" w:color="auto" w:fill="5B9B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社会公益组织</w:t>
            </w:r>
          </w:p>
        </w:tc>
        <w:tc>
          <w:tcPr>
            <w:tcW w:w="709" w:type="dxa"/>
            <w:shd w:val="clear" w:color="auto" w:fill="5B9B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法律服务机构</w:t>
            </w:r>
          </w:p>
        </w:tc>
        <w:tc>
          <w:tcPr>
            <w:tcW w:w="567" w:type="dxa"/>
            <w:shd w:val="clear" w:color="auto" w:fill="5B9B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其他</w:t>
            </w:r>
          </w:p>
        </w:tc>
        <w:tc>
          <w:tcPr>
            <w:tcW w:w="709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4212" w:type="dxa"/>
            <w:gridSpan w:val="3"/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一、本年新收政府信息公开申请数量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4212" w:type="dxa"/>
            <w:gridSpan w:val="3"/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二、上年结转政府信息公开申请数量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399" w:type="dxa"/>
            <w:vMerge w:val="restart"/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三、本年度办理结果</w:t>
            </w:r>
          </w:p>
        </w:tc>
        <w:tc>
          <w:tcPr>
            <w:tcW w:w="3813" w:type="dxa"/>
            <w:gridSpan w:val="2"/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eastAsia="楷体_GB2312" w:cs="Times New Roman"/>
              </w:rPr>
            </w:pPr>
            <w:r>
              <w:rPr>
                <w:rFonts w:hint="default" w:ascii="Times New Roman" w:hAnsi="Times New Roman" w:eastAsia="楷体_GB2312" w:cs="Times New Roman"/>
              </w:rPr>
              <w:t>（一）予以公开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399" w:type="dxa"/>
            <w:vMerge w:val="continue"/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3813" w:type="dxa"/>
            <w:gridSpan w:val="2"/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eastAsia="楷体_GB2312" w:cs="Times New Roman"/>
              </w:rPr>
            </w:pPr>
            <w:r>
              <w:rPr>
                <w:rFonts w:hint="default" w:ascii="Times New Roman" w:hAnsi="Times New Roman" w:eastAsia="楷体_GB2312" w:cs="Times New Roman"/>
              </w:rPr>
              <w:t>（二）部分公开（区分处理的，只计这一情形，不计其他情形）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399" w:type="dxa"/>
            <w:vMerge w:val="continue"/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856" w:type="dxa"/>
            <w:vMerge w:val="restart"/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</w:rPr>
            </w:pPr>
            <w:r>
              <w:rPr>
                <w:rFonts w:hint="default" w:ascii="Times New Roman" w:hAnsi="Times New Roman" w:eastAsia="楷体_GB2312" w:cs="Times New Roman"/>
              </w:rPr>
              <w:t>（三）不予</w:t>
            </w:r>
          </w:p>
          <w:p>
            <w:pPr>
              <w:jc w:val="center"/>
              <w:rPr>
                <w:rFonts w:hint="default" w:ascii="Times New Roman" w:hAnsi="Times New Roman" w:eastAsia="楷体_GB2312" w:cs="Times New Roman"/>
              </w:rPr>
            </w:pPr>
            <w:r>
              <w:rPr>
                <w:rFonts w:hint="default" w:ascii="Times New Roman" w:hAnsi="Times New Roman" w:eastAsia="楷体_GB2312" w:cs="Times New Roman"/>
              </w:rPr>
              <w:t>公开</w:t>
            </w:r>
          </w:p>
        </w:tc>
        <w:tc>
          <w:tcPr>
            <w:tcW w:w="2957" w:type="dxa"/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eastAsia="楷体_GB2312" w:cs="Times New Roman"/>
              </w:rPr>
            </w:pPr>
            <w:r>
              <w:rPr>
                <w:rFonts w:hint="default" w:ascii="Times New Roman" w:hAnsi="Times New Roman" w:eastAsia="楷体_GB2312" w:cs="Times New Roman"/>
              </w:rPr>
              <w:t>1.属于国家秘密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399" w:type="dxa"/>
            <w:vMerge w:val="continue"/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856" w:type="dxa"/>
            <w:vMerge w:val="continue"/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</w:rPr>
            </w:pPr>
          </w:p>
        </w:tc>
        <w:tc>
          <w:tcPr>
            <w:tcW w:w="2957" w:type="dxa"/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eastAsia="楷体_GB2312" w:cs="Times New Roman"/>
              </w:rPr>
            </w:pPr>
            <w:r>
              <w:rPr>
                <w:rFonts w:hint="default" w:ascii="Times New Roman" w:hAnsi="Times New Roman" w:eastAsia="楷体_GB2312" w:cs="Times New Roman"/>
              </w:rPr>
              <w:t>2.其他法律行政法规禁止公开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399" w:type="dxa"/>
            <w:vMerge w:val="continue"/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856" w:type="dxa"/>
            <w:vMerge w:val="continue"/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</w:rPr>
            </w:pPr>
          </w:p>
        </w:tc>
        <w:tc>
          <w:tcPr>
            <w:tcW w:w="2957" w:type="dxa"/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eastAsia="楷体_GB2312" w:cs="Times New Roman"/>
              </w:rPr>
            </w:pPr>
            <w:r>
              <w:rPr>
                <w:rFonts w:hint="default" w:ascii="Times New Roman" w:hAnsi="Times New Roman" w:eastAsia="楷体_GB2312" w:cs="Times New Roman"/>
              </w:rPr>
              <w:t>3.危及“三安全一稳定”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399" w:type="dxa"/>
            <w:vMerge w:val="continue"/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856" w:type="dxa"/>
            <w:vMerge w:val="continue"/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</w:rPr>
            </w:pPr>
          </w:p>
        </w:tc>
        <w:tc>
          <w:tcPr>
            <w:tcW w:w="2957" w:type="dxa"/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eastAsia="楷体_GB2312" w:cs="Times New Roman"/>
              </w:rPr>
            </w:pPr>
            <w:r>
              <w:rPr>
                <w:rFonts w:hint="default" w:ascii="Times New Roman" w:hAnsi="Times New Roman" w:eastAsia="楷体_GB2312" w:cs="Times New Roman"/>
              </w:rPr>
              <w:t>4.保护第三方合法权益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399" w:type="dxa"/>
            <w:vMerge w:val="continue"/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856" w:type="dxa"/>
            <w:vMerge w:val="continue"/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</w:rPr>
            </w:pPr>
          </w:p>
        </w:tc>
        <w:tc>
          <w:tcPr>
            <w:tcW w:w="2957" w:type="dxa"/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eastAsia="楷体_GB2312" w:cs="Times New Roman"/>
              </w:rPr>
            </w:pPr>
            <w:r>
              <w:rPr>
                <w:rFonts w:hint="default" w:ascii="Times New Roman" w:hAnsi="Times New Roman" w:eastAsia="楷体_GB2312" w:cs="Times New Roman"/>
              </w:rPr>
              <w:t>5.属于三类内部事务信息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399" w:type="dxa"/>
            <w:vMerge w:val="continue"/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856" w:type="dxa"/>
            <w:vMerge w:val="continue"/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</w:rPr>
            </w:pPr>
          </w:p>
        </w:tc>
        <w:tc>
          <w:tcPr>
            <w:tcW w:w="2957" w:type="dxa"/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eastAsia="楷体_GB2312" w:cs="Times New Roman"/>
              </w:rPr>
            </w:pPr>
            <w:r>
              <w:rPr>
                <w:rFonts w:hint="default" w:ascii="Times New Roman" w:hAnsi="Times New Roman" w:eastAsia="楷体_GB2312" w:cs="Times New Roman"/>
              </w:rPr>
              <w:t>6.属于四类过程性信息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399" w:type="dxa"/>
            <w:vMerge w:val="continue"/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856" w:type="dxa"/>
            <w:vMerge w:val="continue"/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</w:rPr>
            </w:pPr>
          </w:p>
        </w:tc>
        <w:tc>
          <w:tcPr>
            <w:tcW w:w="2957" w:type="dxa"/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eastAsia="楷体_GB2312" w:cs="Times New Roman"/>
              </w:rPr>
            </w:pPr>
            <w:r>
              <w:rPr>
                <w:rFonts w:hint="default" w:ascii="Times New Roman" w:hAnsi="Times New Roman" w:eastAsia="楷体_GB2312" w:cs="Times New Roman"/>
              </w:rPr>
              <w:t>7.属于行政执法案卷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399" w:type="dxa"/>
            <w:vMerge w:val="continue"/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856" w:type="dxa"/>
            <w:vMerge w:val="continue"/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</w:rPr>
            </w:pPr>
          </w:p>
        </w:tc>
        <w:tc>
          <w:tcPr>
            <w:tcW w:w="2957" w:type="dxa"/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eastAsia="楷体_GB2312" w:cs="Times New Roman"/>
              </w:rPr>
            </w:pPr>
            <w:r>
              <w:rPr>
                <w:rFonts w:hint="default" w:ascii="Times New Roman" w:hAnsi="Times New Roman" w:eastAsia="楷体_GB2312" w:cs="Times New Roman"/>
              </w:rPr>
              <w:t>8.属于行政查询事项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399" w:type="dxa"/>
            <w:vMerge w:val="continue"/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856" w:type="dxa"/>
            <w:vMerge w:val="restart"/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</w:rPr>
            </w:pPr>
            <w:r>
              <w:rPr>
                <w:rFonts w:hint="default" w:ascii="Times New Roman" w:hAnsi="Times New Roman" w:eastAsia="楷体_GB2312" w:cs="Times New Roman"/>
              </w:rPr>
              <w:t>（四）无法</w:t>
            </w:r>
          </w:p>
          <w:p>
            <w:pPr>
              <w:jc w:val="center"/>
              <w:rPr>
                <w:rFonts w:hint="default" w:ascii="Times New Roman" w:hAnsi="Times New Roman" w:eastAsia="楷体_GB2312" w:cs="Times New Roman"/>
              </w:rPr>
            </w:pPr>
            <w:r>
              <w:rPr>
                <w:rFonts w:hint="default" w:ascii="Times New Roman" w:hAnsi="Times New Roman" w:eastAsia="楷体_GB2312" w:cs="Times New Roman"/>
              </w:rPr>
              <w:t>提供</w:t>
            </w:r>
          </w:p>
        </w:tc>
        <w:tc>
          <w:tcPr>
            <w:tcW w:w="2957" w:type="dxa"/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eastAsia="楷体_GB2312" w:cs="Times New Roman"/>
              </w:rPr>
            </w:pPr>
            <w:r>
              <w:rPr>
                <w:rFonts w:hint="default" w:ascii="Times New Roman" w:hAnsi="Times New Roman" w:eastAsia="楷体_GB2312" w:cs="Times New Roman"/>
              </w:rPr>
              <w:t>1.本机关不掌握相关政府信息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399" w:type="dxa"/>
            <w:vMerge w:val="continue"/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856" w:type="dxa"/>
            <w:vMerge w:val="continue"/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</w:rPr>
            </w:pPr>
          </w:p>
        </w:tc>
        <w:tc>
          <w:tcPr>
            <w:tcW w:w="2957" w:type="dxa"/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eastAsia="楷体_GB2312" w:cs="Times New Roman"/>
              </w:rPr>
            </w:pPr>
            <w:r>
              <w:rPr>
                <w:rFonts w:hint="default" w:ascii="Times New Roman" w:hAnsi="Times New Roman" w:eastAsia="楷体_GB2312" w:cs="Times New Roman"/>
              </w:rPr>
              <w:t>2.没有现成信息需要另行制作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399" w:type="dxa"/>
            <w:vMerge w:val="continue"/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856" w:type="dxa"/>
            <w:vMerge w:val="continue"/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</w:rPr>
            </w:pPr>
          </w:p>
        </w:tc>
        <w:tc>
          <w:tcPr>
            <w:tcW w:w="2957" w:type="dxa"/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eastAsia="楷体_GB2312" w:cs="Times New Roman"/>
              </w:rPr>
            </w:pPr>
            <w:r>
              <w:rPr>
                <w:rFonts w:hint="default" w:ascii="Times New Roman" w:hAnsi="Times New Roman" w:eastAsia="楷体_GB2312" w:cs="Times New Roman"/>
              </w:rPr>
              <w:t>3.补正后申请内容仍不明确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399" w:type="dxa"/>
            <w:vMerge w:val="continue"/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856" w:type="dxa"/>
            <w:vMerge w:val="restart"/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</w:rPr>
            </w:pPr>
            <w:r>
              <w:rPr>
                <w:rFonts w:hint="default" w:ascii="Times New Roman" w:hAnsi="Times New Roman" w:eastAsia="楷体_GB2312" w:cs="Times New Roman"/>
              </w:rPr>
              <w:t>（五）不予</w:t>
            </w:r>
          </w:p>
          <w:p>
            <w:pPr>
              <w:jc w:val="center"/>
              <w:rPr>
                <w:rFonts w:hint="default" w:ascii="Times New Roman" w:hAnsi="Times New Roman" w:eastAsia="楷体_GB2312" w:cs="Times New Roman"/>
              </w:rPr>
            </w:pPr>
            <w:r>
              <w:rPr>
                <w:rFonts w:hint="default" w:ascii="Times New Roman" w:hAnsi="Times New Roman" w:eastAsia="楷体_GB2312" w:cs="Times New Roman"/>
              </w:rPr>
              <w:t>处理</w:t>
            </w:r>
          </w:p>
        </w:tc>
        <w:tc>
          <w:tcPr>
            <w:tcW w:w="2957" w:type="dxa"/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eastAsia="楷体_GB2312" w:cs="Times New Roman"/>
              </w:rPr>
            </w:pPr>
            <w:r>
              <w:rPr>
                <w:rFonts w:hint="default" w:ascii="Times New Roman" w:hAnsi="Times New Roman" w:eastAsia="楷体_GB2312" w:cs="Times New Roman"/>
              </w:rPr>
              <w:t>1.信访举报投诉类申请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399" w:type="dxa"/>
            <w:vMerge w:val="continue"/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856" w:type="dxa"/>
            <w:vMerge w:val="continue"/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eastAsia="楷体_GB2312" w:cs="Times New Roman"/>
              </w:rPr>
            </w:pPr>
          </w:p>
        </w:tc>
        <w:tc>
          <w:tcPr>
            <w:tcW w:w="2957" w:type="dxa"/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eastAsia="楷体_GB2312" w:cs="Times New Roman"/>
              </w:rPr>
            </w:pPr>
            <w:r>
              <w:rPr>
                <w:rFonts w:hint="default" w:ascii="Times New Roman" w:hAnsi="Times New Roman" w:eastAsia="楷体_GB2312" w:cs="Times New Roman"/>
              </w:rPr>
              <w:t>2.重复申请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399" w:type="dxa"/>
            <w:vMerge w:val="continue"/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856" w:type="dxa"/>
            <w:vMerge w:val="continue"/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eastAsia="楷体_GB2312" w:cs="Times New Roman"/>
              </w:rPr>
            </w:pPr>
          </w:p>
        </w:tc>
        <w:tc>
          <w:tcPr>
            <w:tcW w:w="2957" w:type="dxa"/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eastAsia="楷体_GB2312" w:cs="Times New Roman"/>
              </w:rPr>
            </w:pPr>
            <w:r>
              <w:rPr>
                <w:rFonts w:hint="default" w:ascii="Times New Roman" w:hAnsi="Times New Roman" w:eastAsia="楷体_GB2312" w:cs="Times New Roman"/>
              </w:rPr>
              <w:t>3.要求提供公开出版物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399" w:type="dxa"/>
            <w:vMerge w:val="continue"/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856" w:type="dxa"/>
            <w:vMerge w:val="continue"/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eastAsia="楷体_GB2312" w:cs="Times New Roman"/>
              </w:rPr>
            </w:pPr>
          </w:p>
        </w:tc>
        <w:tc>
          <w:tcPr>
            <w:tcW w:w="2957" w:type="dxa"/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eastAsia="楷体_GB2312" w:cs="Times New Roman"/>
              </w:rPr>
            </w:pPr>
            <w:r>
              <w:rPr>
                <w:rFonts w:hint="default" w:ascii="Times New Roman" w:hAnsi="Times New Roman" w:eastAsia="楷体_GB2312" w:cs="Times New Roman"/>
              </w:rPr>
              <w:t>4.无正当理由大量反复申请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399" w:type="dxa"/>
            <w:vMerge w:val="continue"/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856" w:type="dxa"/>
            <w:vMerge w:val="continue"/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eastAsia="楷体_GB2312" w:cs="Times New Roman"/>
              </w:rPr>
            </w:pPr>
          </w:p>
        </w:tc>
        <w:tc>
          <w:tcPr>
            <w:tcW w:w="2957" w:type="dxa"/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eastAsia="楷体_GB2312" w:cs="Times New Roman"/>
              </w:rPr>
            </w:pPr>
            <w:r>
              <w:rPr>
                <w:rFonts w:hint="default" w:ascii="Times New Roman" w:hAnsi="Times New Roman" w:eastAsia="楷体_GB2312" w:cs="Times New Roman"/>
              </w:rPr>
              <w:t>5.要求行政机关确认或重新出具已获取信息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399" w:type="dxa"/>
            <w:vMerge w:val="continue"/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3813" w:type="dxa"/>
            <w:gridSpan w:val="2"/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eastAsia="楷体_GB2312" w:cs="Times New Roman"/>
              </w:rPr>
            </w:pPr>
            <w:r>
              <w:rPr>
                <w:rFonts w:hint="default" w:ascii="Times New Roman" w:hAnsi="Times New Roman" w:eastAsia="楷体_GB2312" w:cs="Times New Roman"/>
              </w:rPr>
              <w:t>（六）其他处理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399" w:type="dxa"/>
            <w:vMerge w:val="continue"/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3813" w:type="dxa"/>
            <w:gridSpan w:val="2"/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eastAsia="楷体_GB2312" w:cs="Times New Roman"/>
              </w:rPr>
            </w:pPr>
            <w:r>
              <w:rPr>
                <w:rFonts w:hint="default" w:ascii="Times New Roman" w:hAnsi="Times New Roman" w:eastAsia="楷体_GB2312" w:cs="Times New Roman"/>
              </w:rPr>
              <w:t>（七）总计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4212" w:type="dxa"/>
            <w:gridSpan w:val="3"/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四、结转下年度继续办理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</w:tr>
    </w:tbl>
    <w:p>
      <w:pPr>
        <w:spacing w:line="560" w:lineRule="exact"/>
        <w:ind w:firstLine="640" w:firstLineChars="200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四、政府信息公开行政复议、行政诉讼情况</w:t>
      </w:r>
    </w:p>
    <w:tbl>
      <w:tblPr>
        <w:tblStyle w:val="4"/>
        <w:tblW w:w="887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67"/>
        <w:gridCol w:w="541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5" w:hRule="atLeast"/>
          <w:jc w:val="center"/>
        </w:trPr>
        <w:tc>
          <w:tcPr>
            <w:tcW w:w="2874" w:type="dxa"/>
            <w:gridSpan w:val="5"/>
            <w:tcBorders>
              <w:bottom w:val="single" w:color="auto" w:sz="4" w:space="0"/>
            </w:tcBorders>
            <w:shd w:val="clear" w:color="auto" w:fill="5B9B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行政复议</w:t>
            </w:r>
          </w:p>
        </w:tc>
        <w:tc>
          <w:tcPr>
            <w:tcW w:w="5997" w:type="dxa"/>
            <w:gridSpan w:val="10"/>
            <w:tcBorders>
              <w:bottom w:val="single" w:color="auto" w:sz="4" w:space="0"/>
            </w:tcBorders>
            <w:shd w:val="clear" w:color="auto" w:fill="5B9B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行政诉讼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jc w:val="center"/>
        </w:trPr>
        <w:tc>
          <w:tcPr>
            <w:tcW w:w="467" w:type="dxa"/>
            <w:vMerge w:val="restart"/>
            <w:tcBorders>
              <w:top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结</w:t>
            </w:r>
          </w:p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果</w:t>
            </w:r>
          </w:p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维</w:t>
            </w:r>
          </w:p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持</w:t>
            </w:r>
          </w:p>
        </w:tc>
        <w:tc>
          <w:tcPr>
            <w:tcW w:w="541" w:type="dxa"/>
            <w:vMerge w:val="restart"/>
            <w:tcBorders>
              <w:top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总 计</w:t>
            </w:r>
          </w:p>
        </w:tc>
        <w:tc>
          <w:tcPr>
            <w:tcW w:w="2970" w:type="dxa"/>
            <w:gridSpan w:val="5"/>
            <w:tcBorders>
              <w:top w:val="single" w:color="auto" w:sz="4" w:space="0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4" w:space="0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复议后起诉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67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541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604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604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658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5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结果维持</w:t>
            </w:r>
          </w:p>
        </w:tc>
        <w:tc>
          <w:tcPr>
            <w:tcW w:w="6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结果纠正</w:t>
            </w:r>
          </w:p>
        </w:tc>
        <w:tc>
          <w:tcPr>
            <w:tcW w:w="6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其他结果</w:t>
            </w:r>
          </w:p>
        </w:tc>
        <w:tc>
          <w:tcPr>
            <w:tcW w:w="6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尚未审结</w:t>
            </w:r>
          </w:p>
        </w:tc>
        <w:tc>
          <w:tcPr>
            <w:tcW w:w="6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总计</w:t>
            </w:r>
          </w:p>
        </w:tc>
        <w:tc>
          <w:tcPr>
            <w:tcW w:w="6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结果维持</w:t>
            </w:r>
          </w:p>
        </w:tc>
        <w:tc>
          <w:tcPr>
            <w:tcW w:w="6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结果纠正</w:t>
            </w:r>
          </w:p>
        </w:tc>
        <w:tc>
          <w:tcPr>
            <w:tcW w:w="6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其他结果</w:t>
            </w:r>
          </w:p>
        </w:tc>
        <w:tc>
          <w:tcPr>
            <w:tcW w:w="6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尚未审结</w:t>
            </w:r>
          </w:p>
        </w:tc>
        <w:tc>
          <w:tcPr>
            <w:tcW w:w="6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4" w:hRule="atLeast"/>
          <w:jc w:val="center"/>
        </w:trPr>
        <w:tc>
          <w:tcPr>
            <w:tcW w:w="4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54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6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6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6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5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6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6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6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6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6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6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6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6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6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</w:tr>
    </w:tbl>
    <w:p>
      <w:pPr>
        <w:widowControl/>
        <w:spacing w:line="560" w:lineRule="exact"/>
        <w:ind w:firstLine="672" w:firstLineChars="200"/>
        <w:jc w:val="left"/>
        <w:rPr>
          <w:rFonts w:hint="default" w:ascii="Times New Roman" w:hAnsi="Times New Roman" w:cs="Times New Roman"/>
          <w:spacing w:val="8"/>
          <w:kern w:val="0"/>
          <w:sz w:val="24"/>
        </w:rPr>
      </w:pPr>
      <w:r>
        <w:rPr>
          <w:rFonts w:hint="default" w:ascii="Times New Roman" w:hAnsi="Times New Roman" w:eastAsia="黑体" w:cs="Times New Roman"/>
          <w:spacing w:val="8"/>
          <w:kern w:val="0"/>
          <w:sz w:val="32"/>
          <w:szCs w:val="32"/>
        </w:rPr>
        <w:t>五、存在的主要问题及改进情况</w:t>
      </w:r>
    </w:p>
    <w:p>
      <w:pPr>
        <w:widowControl/>
        <w:spacing w:line="560" w:lineRule="exact"/>
        <w:ind w:firstLine="672" w:firstLineChars="200"/>
        <w:jc w:val="left"/>
        <w:rPr>
          <w:rFonts w:hint="default" w:ascii="Times New Roman" w:hAnsi="Times New Roman" w:eastAsia="仿宋_GB2312" w:cs="Times New Roman"/>
          <w:spacing w:val="8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8"/>
          <w:kern w:val="0"/>
          <w:sz w:val="32"/>
          <w:szCs w:val="32"/>
          <w:lang w:val="en-US" w:eastAsia="zh-CN"/>
        </w:rPr>
        <w:t>存在的不足:一是</w:t>
      </w:r>
      <w:r>
        <w:rPr>
          <w:rFonts w:hint="eastAsia" w:ascii="Times New Roman" w:hAnsi="Times New Roman" w:eastAsia="仿宋_GB2312" w:cs="Times New Roman"/>
          <w:spacing w:val="8"/>
          <w:kern w:val="0"/>
          <w:sz w:val="32"/>
          <w:szCs w:val="32"/>
          <w:lang w:val="en-US" w:eastAsia="zh-CN"/>
        </w:rPr>
        <w:t>主动学习、深入学习的意识有待进一步加强</w:t>
      </w:r>
      <w:r>
        <w:rPr>
          <w:rFonts w:hint="default" w:ascii="Times New Roman" w:hAnsi="Times New Roman" w:eastAsia="仿宋_GB2312" w:cs="Times New Roman"/>
          <w:spacing w:val="8"/>
          <w:kern w:val="0"/>
          <w:sz w:val="32"/>
          <w:szCs w:val="32"/>
          <w:lang w:val="en-US" w:eastAsia="zh-CN"/>
        </w:rPr>
        <w:t>。二是</w:t>
      </w:r>
      <w:r>
        <w:rPr>
          <w:rFonts w:hint="eastAsia" w:ascii="Times New Roman" w:hAnsi="Times New Roman" w:eastAsia="仿宋_GB2312" w:cs="Times New Roman"/>
          <w:spacing w:val="8"/>
          <w:kern w:val="0"/>
          <w:sz w:val="32"/>
          <w:szCs w:val="32"/>
          <w:lang w:val="en-US" w:eastAsia="zh-CN"/>
        </w:rPr>
        <w:t>因暂无申请政府信息公开相关事项，办理经验比较缺乏。</w:t>
      </w:r>
    </w:p>
    <w:p>
      <w:pPr>
        <w:widowControl/>
        <w:spacing w:line="560" w:lineRule="exact"/>
        <w:ind w:firstLine="672" w:firstLineChars="200"/>
        <w:jc w:val="left"/>
        <w:rPr>
          <w:rFonts w:hint="default" w:ascii="Times New Roman" w:hAnsi="Times New Roman" w:eastAsia="仿宋_GB2312" w:cs="Times New Roman"/>
          <w:spacing w:val="8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8"/>
          <w:kern w:val="0"/>
          <w:sz w:val="32"/>
          <w:szCs w:val="32"/>
          <w:lang w:val="en-US" w:eastAsia="zh-CN"/>
        </w:rPr>
        <w:t>下一步</w:t>
      </w:r>
      <w:r>
        <w:rPr>
          <w:rFonts w:hint="eastAsia" w:ascii="Times New Roman" w:hAnsi="Times New Roman" w:eastAsia="仿宋_GB2312" w:cs="Times New Roman"/>
          <w:spacing w:val="8"/>
          <w:kern w:val="0"/>
          <w:sz w:val="32"/>
          <w:szCs w:val="32"/>
          <w:lang w:eastAsia="zh-CN"/>
        </w:rPr>
        <w:t>，我中心将</w:t>
      </w:r>
      <w:r>
        <w:rPr>
          <w:rFonts w:hint="default" w:ascii="Times New Roman" w:hAnsi="Times New Roman" w:eastAsia="仿宋_GB2312" w:cs="Times New Roman"/>
          <w:spacing w:val="8"/>
          <w:kern w:val="0"/>
          <w:sz w:val="32"/>
          <w:szCs w:val="32"/>
          <w:lang w:val="en-US" w:eastAsia="zh-CN"/>
        </w:rPr>
        <w:t>深入学习政务公开政策要求，认真落实政务公开措施，参加政务公开相关培训，进一步提升工作人员政务公开服务能力建设。</w:t>
      </w:r>
    </w:p>
    <w:p>
      <w:pPr>
        <w:widowControl/>
        <w:spacing w:line="560" w:lineRule="exact"/>
        <w:ind w:firstLine="675"/>
        <w:jc w:val="left"/>
        <w:rPr>
          <w:rFonts w:hint="default" w:ascii="Times New Roman" w:hAnsi="Times New Roman" w:cs="Times New Roman"/>
          <w:spacing w:val="8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spacing w:val="8"/>
          <w:kern w:val="0"/>
          <w:sz w:val="32"/>
          <w:szCs w:val="32"/>
        </w:rPr>
        <w:t>六、其他需要报告的事项</w:t>
      </w:r>
    </w:p>
    <w:p>
      <w:pPr>
        <w:widowControl/>
        <w:spacing w:line="560" w:lineRule="exact"/>
        <w:jc w:val="left"/>
        <w:rPr>
          <w:rFonts w:hint="default" w:ascii="Times New Roman" w:hAnsi="Times New Roman" w:cs="Times New Roman"/>
          <w:spacing w:val="8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cs="Times New Roman"/>
          <w:spacing w:val="8"/>
          <w:kern w:val="0"/>
          <w:sz w:val="32"/>
          <w:szCs w:val="32"/>
        </w:rPr>
        <w:t>　　</w:t>
      </w:r>
      <w:r>
        <w:rPr>
          <w:rFonts w:hint="default" w:ascii="Times New Roman" w:hAnsi="Times New Roman" w:cs="Times New Roman"/>
          <w:spacing w:val="8"/>
          <w:kern w:val="0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cs="Times New Roman"/>
          <w:spacing w:val="8"/>
          <w:kern w:val="0"/>
          <w:sz w:val="32"/>
          <w:szCs w:val="32"/>
          <w:lang w:eastAsia="zh-CN"/>
        </w:rPr>
        <w:t>无</w:t>
      </w:r>
    </w:p>
    <w:p>
      <w:pPr>
        <w:pStyle w:val="2"/>
        <w:rPr>
          <w:rFonts w:hint="default" w:ascii="Times New Roman" w:hAnsi="Times New Roman" w:cs="Times New Roman"/>
          <w:spacing w:val="8"/>
          <w:kern w:val="0"/>
          <w:sz w:val="32"/>
          <w:szCs w:val="32"/>
          <w:lang w:eastAsia="zh-CN"/>
        </w:rPr>
      </w:pPr>
    </w:p>
    <w:p>
      <w:pPr>
        <w:widowControl/>
        <w:spacing w:line="560" w:lineRule="exact"/>
        <w:ind w:firstLine="672" w:firstLineChars="200"/>
        <w:jc w:val="left"/>
        <w:rPr>
          <w:rFonts w:hint="default" w:ascii="Times New Roman" w:hAnsi="Times New Roman" w:eastAsia="仿宋_GB2312" w:cs="Times New Roman"/>
          <w:spacing w:val="8"/>
          <w:kern w:val="0"/>
          <w:sz w:val="32"/>
          <w:szCs w:val="32"/>
          <w:lang w:val="en-US" w:eastAsia="zh-CN"/>
        </w:rPr>
      </w:pPr>
    </w:p>
    <w:p>
      <w:pPr>
        <w:widowControl/>
        <w:spacing w:line="560" w:lineRule="exact"/>
        <w:ind w:firstLine="4368" w:firstLineChars="1300"/>
        <w:jc w:val="left"/>
        <w:rPr>
          <w:rFonts w:hint="eastAsia" w:ascii="Times New Roman" w:hAnsi="Times New Roman" w:eastAsia="仿宋_GB2312" w:cs="Times New Roman"/>
          <w:spacing w:val="8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pacing w:val="8"/>
          <w:kern w:val="0"/>
          <w:sz w:val="32"/>
          <w:szCs w:val="32"/>
          <w:lang w:val="en-US" w:eastAsia="zh-CN"/>
        </w:rPr>
        <w:t>东城区投资促进服务中心</w:t>
      </w:r>
    </w:p>
    <w:p>
      <w:pPr>
        <w:widowControl/>
        <w:spacing w:line="560" w:lineRule="exact"/>
        <w:ind w:firstLine="5040" w:firstLineChars="1500"/>
        <w:jc w:val="left"/>
        <w:rPr>
          <w:rFonts w:hint="default" w:ascii="Times New Roman" w:hAnsi="Times New Roman" w:eastAsia="仿宋_GB2312" w:cs="Times New Roman"/>
          <w:spacing w:val="8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pacing w:val="8"/>
          <w:kern w:val="0"/>
          <w:sz w:val="32"/>
          <w:szCs w:val="32"/>
          <w:lang w:val="en-US" w:eastAsia="zh-CN"/>
        </w:rPr>
        <w:t>2021年1月5日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F401EF"/>
    <w:multiLevelType w:val="singleLevel"/>
    <w:tmpl w:val="5FF401EF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677EDA"/>
    <w:rsid w:val="25827E2E"/>
    <w:rsid w:val="2FE31BF4"/>
    <w:rsid w:val="31677EDA"/>
    <w:rsid w:val="58087D3A"/>
    <w:rsid w:val="78653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2021-01-05T05:30:00Z</dcterms:created>
  <dc:creator>刘振华</dc:creator>
  <cp:lastModifiedBy>刘振华</cp:lastModifiedBy>
  <dcterms:modified xsi:type="dcterms:W3CDTF">2021-01-07T04:41:20Z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2052-10.8.0.6253</vt:lpwstr>
  </property>
</Properties>
</file>