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D3" w:rsidRDefault="00F442D3" w:rsidP="00F442D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景山街道2020年政府信息公开</w:t>
      </w:r>
    </w:p>
    <w:p w:rsidR="00F442D3" w:rsidRDefault="00F442D3" w:rsidP="00F442D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工作年度报告</w:t>
      </w:r>
    </w:p>
    <w:p w:rsidR="00F442D3" w:rsidRDefault="00F442D3" w:rsidP="00F442D3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F442D3" w:rsidRDefault="00F442D3" w:rsidP="00F442D3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总体情况</w:t>
      </w:r>
    </w:p>
    <w:p w:rsidR="00F442D3" w:rsidRPr="001323AC" w:rsidRDefault="00F442D3" w:rsidP="00F442D3">
      <w:pPr>
        <w:spacing w:line="560" w:lineRule="exact"/>
        <w:ind w:firstLineChars="200" w:firstLine="640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黑体" w:cs="黑体" w:hint="eastAsia"/>
          <w:sz w:val="32"/>
          <w:szCs w:val="32"/>
        </w:rPr>
        <w:t>2020年</w:t>
      </w:r>
      <w:r w:rsidRPr="00311885">
        <w:rPr>
          <w:rFonts w:ascii="仿宋_GB2312" w:eastAsia="仿宋_GB2312" w:hAnsi="黑体" w:cs="黑体" w:hint="eastAsia"/>
          <w:sz w:val="32"/>
          <w:szCs w:val="32"/>
        </w:rPr>
        <w:t>，</w:t>
      </w:r>
      <w:r>
        <w:rPr>
          <w:rFonts w:ascii="仿宋_GB2312" w:eastAsia="仿宋_GB2312" w:hAnsi="黑体" w:cs="黑体" w:hint="eastAsia"/>
          <w:sz w:val="32"/>
          <w:szCs w:val="32"/>
        </w:rPr>
        <w:t>景山街道</w:t>
      </w:r>
      <w:r w:rsidRPr="00311885">
        <w:rPr>
          <w:rFonts w:ascii="仿宋_GB2312" w:eastAsia="仿宋_GB2312" w:hAnsi="黑体" w:cs="黑体" w:hint="eastAsia"/>
          <w:sz w:val="32"/>
          <w:szCs w:val="32"/>
        </w:rPr>
        <w:t>坚持以习近平新时代中国特色社会主义思想为指导，全面贯彻落实《中华人民共和国政府信息公开条例》(以下简称《政府信息公开条例》)要求，</w:t>
      </w:r>
      <w:r>
        <w:rPr>
          <w:rFonts w:ascii="仿宋_GB2312" w:eastAsia="仿宋_GB2312" w:hAnsi="黑体" w:cs="黑体" w:hint="eastAsia"/>
          <w:sz w:val="32"/>
          <w:szCs w:val="32"/>
        </w:rPr>
        <w:t>以</w:t>
      </w:r>
      <w:r>
        <w:rPr>
          <w:rFonts w:ascii="仿宋_GB2312" w:eastAsia="仿宋_GB2312" w:hAnsi="仿宋" w:hint="eastAsia"/>
          <w:sz w:val="32"/>
          <w:szCs w:val="32"/>
        </w:rPr>
        <w:t>“便民、依法、公开、高效”为原则，</w:t>
      </w:r>
      <w:r w:rsidRPr="00B97DF0">
        <w:rPr>
          <w:rFonts w:ascii="仿宋_GB2312" w:eastAsia="仿宋_GB2312" w:hAnsi="宋体" w:cs="宋体" w:hint="eastAsia"/>
          <w:kern w:val="0"/>
          <w:sz w:val="32"/>
          <w:szCs w:val="32"/>
        </w:rPr>
        <w:t>不断完善公开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制度，拓宽公开领域，深化公开内容，规范公开流程，扎实推进街道政务公开</w:t>
      </w:r>
      <w:r w:rsidRPr="00B97DF0">
        <w:rPr>
          <w:rFonts w:ascii="仿宋_GB2312" w:eastAsia="仿宋_GB2312" w:hAnsi="宋体" w:cs="宋体" w:hint="eastAsia"/>
          <w:kern w:val="0"/>
          <w:sz w:val="32"/>
          <w:szCs w:val="32"/>
        </w:rPr>
        <w:t>各项工作，切实保障人民群众的知情权、参与权、监督权和表达权，不断推进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景山街道政务</w:t>
      </w:r>
      <w:r w:rsidRPr="00B97DF0">
        <w:rPr>
          <w:rFonts w:ascii="仿宋_GB2312" w:eastAsia="仿宋_GB2312" w:hAnsi="宋体" w:cs="宋体" w:hint="eastAsia"/>
          <w:kern w:val="0"/>
          <w:sz w:val="32"/>
          <w:szCs w:val="32"/>
        </w:rPr>
        <w:t>公开工作取得新成效。</w:t>
      </w:r>
    </w:p>
    <w:p w:rsidR="00F442D3" w:rsidRPr="00311885" w:rsidRDefault="00F442D3" w:rsidP="00F442D3">
      <w:pPr>
        <w:spacing w:line="560" w:lineRule="exact"/>
        <w:ind w:firstLineChars="200" w:firstLine="643"/>
        <w:rPr>
          <w:rFonts w:ascii="仿宋_GB2312" w:eastAsia="仿宋_GB2312" w:hAnsi="黑体" w:cs="黑体"/>
          <w:sz w:val="32"/>
          <w:szCs w:val="32"/>
        </w:rPr>
      </w:pPr>
      <w:r w:rsidRPr="00FF29C3">
        <w:rPr>
          <w:rFonts w:ascii="仿宋_GB2312" w:eastAsia="仿宋_GB2312" w:hAnsi="黑体" w:cs="黑体" w:hint="eastAsia"/>
          <w:b/>
          <w:sz w:val="32"/>
          <w:szCs w:val="32"/>
        </w:rPr>
        <w:t>一是加大重点领域政府信息公开力度。</w:t>
      </w:r>
      <w:r w:rsidRPr="00FF29C3">
        <w:rPr>
          <w:rFonts w:ascii="仿宋_GB2312" w:eastAsia="仿宋_GB2312" w:hAnsi="黑体" w:cs="黑体" w:hint="eastAsia"/>
          <w:sz w:val="32"/>
          <w:szCs w:val="32"/>
        </w:rPr>
        <w:t>2020年</w:t>
      </w:r>
      <w:r>
        <w:rPr>
          <w:rFonts w:ascii="仿宋_GB2312" w:eastAsia="仿宋_GB2312" w:hAnsi="黑体" w:cs="黑体" w:hint="eastAsia"/>
          <w:sz w:val="32"/>
          <w:szCs w:val="32"/>
        </w:rPr>
        <w:t>景山街道在</w:t>
      </w:r>
      <w:r w:rsidRPr="00311885">
        <w:rPr>
          <w:rFonts w:ascii="仿宋_GB2312" w:eastAsia="仿宋_GB2312" w:hAnsi="黑体" w:cs="黑体" w:hint="eastAsia"/>
          <w:sz w:val="32"/>
          <w:szCs w:val="32"/>
        </w:rPr>
        <w:t>“数字东城”网站主动公开政府信息</w:t>
      </w:r>
      <w:r>
        <w:rPr>
          <w:rFonts w:ascii="仿宋_GB2312" w:eastAsia="仿宋_GB2312" w:hAnsi="黑体" w:cs="黑体" w:hint="eastAsia"/>
          <w:sz w:val="32"/>
          <w:szCs w:val="32"/>
        </w:rPr>
        <w:t>223条</w:t>
      </w:r>
      <w:r w:rsidRPr="00311885">
        <w:rPr>
          <w:rFonts w:ascii="仿宋_GB2312" w:eastAsia="仿宋_GB2312" w:hAnsi="黑体" w:cs="黑体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根据区有关要求，街道对政府信息公开的范围、内容、形式和制度等作了进一步的明确，公开重点更加突出，把群众最关心、最需要了解的事项作为政府信息公开的重点，有效提高政务服务的针对性和实效性。坚持做到重大决策、重要干部人事任免、重大项目安排和大额度资金使用，必须由领导班子集体研究决定。主动将工委会、主任办公会议题在街道范围内进行公开，并将2019年度部门决算说明、2020年度部门预算说明等情况在网站上进行公开，让权力在阳光下运行。</w:t>
      </w:r>
    </w:p>
    <w:p w:rsidR="00F442D3" w:rsidRPr="00C00CCF" w:rsidRDefault="00F442D3" w:rsidP="00F442D3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271148">
        <w:rPr>
          <w:rFonts w:ascii="仿宋_GB2312" w:eastAsia="仿宋_GB2312" w:hint="eastAsia"/>
          <w:b/>
          <w:sz w:val="32"/>
          <w:szCs w:val="32"/>
        </w:rPr>
        <w:t>二是</w:t>
      </w:r>
      <w:r>
        <w:rPr>
          <w:rFonts w:ascii="仿宋_GB2312" w:eastAsia="仿宋_GB2312" w:hint="eastAsia"/>
          <w:b/>
          <w:sz w:val="32"/>
          <w:szCs w:val="32"/>
        </w:rPr>
        <w:t>依法依据，严格落实</w:t>
      </w:r>
      <w:r w:rsidR="00967C7A">
        <w:rPr>
          <w:rFonts w:ascii="仿宋_GB2312" w:eastAsia="仿宋_GB2312" w:hint="eastAsia"/>
          <w:b/>
          <w:sz w:val="32"/>
          <w:szCs w:val="32"/>
        </w:rPr>
        <w:t>依</w:t>
      </w:r>
      <w:r>
        <w:rPr>
          <w:rFonts w:ascii="仿宋_GB2312" w:eastAsia="仿宋_GB2312" w:hint="eastAsia"/>
          <w:b/>
          <w:sz w:val="32"/>
          <w:szCs w:val="32"/>
        </w:rPr>
        <w:t>申请公开工作。</w:t>
      </w:r>
      <w:r>
        <w:rPr>
          <w:rFonts w:ascii="仿宋_GB2312" w:eastAsia="仿宋_GB2312" w:hAnsi="仿宋" w:hint="eastAsia"/>
          <w:sz w:val="32"/>
          <w:szCs w:val="32"/>
        </w:rPr>
        <w:t>在依申请公开方面，街道设专人负责依申请公开工作，积极参加市、区组织的依申请公开专向培训，</w:t>
      </w:r>
      <w:r w:rsidRPr="00311885">
        <w:rPr>
          <w:rFonts w:ascii="仿宋_GB2312" w:eastAsia="仿宋_GB2312" w:hAnsi="黑体" w:cs="黑体" w:hint="eastAsia"/>
          <w:sz w:val="32"/>
          <w:szCs w:val="32"/>
        </w:rPr>
        <w:t>严格执行新修订的《政府信息</w:t>
      </w:r>
      <w:r w:rsidRPr="00311885">
        <w:rPr>
          <w:rFonts w:ascii="仿宋_GB2312" w:eastAsia="仿宋_GB2312" w:hAnsi="黑体" w:cs="黑体" w:hint="eastAsia"/>
          <w:sz w:val="32"/>
          <w:szCs w:val="32"/>
        </w:rPr>
        <w:lastRenderedPageBreak/>
        <w:t>公开条例》，将政府信息依申请公开办理制度化、规范化，积极了解</w:t>
      </w:r>
      <w:r>
        <w:rPr>
          <w:rFonts w:ascii="仿宋_GB2312" w:eastAsia="仿宋_GB2312" w:hAnsi="黑体" w:cs="黑体" w:hint="eastAsia"/>
          <w:sz w:val="32"/>
          <w:szCs w:val="32"/>
        </w:rPr>
        <w:t>公众</w:t>
      </w:r>
      <w:r w:rsidRPr="00311885">
        <w:rPr>
          <w:rFonts w:ascii="仿宋_GB2312" w:eastAsia="仿宋_GB2312" w:hAnsi="黑体" w:cs="黑体" w:hint="eastAsia"/>
          <w:sz w:val="32"/>
          <w:szCs w:val="32"/>
        </w:rPr>
        <w:t>诉求、</w:t>
      </w:r>
      <w:r>
        <w:rPr>
          <w:rFonts w:ascii="仿宋_GB2312" w:eastAsia="仿宋_GB2312" w:hAnsi="黑体" w:cs="黑体" w:hint="eastAsia"/>
          <w:sz w:val="32"/>
          <w:szCs w:val="32"/>
        </w:rPr>
        <w:t>做</w:t>
      </w:r>
      <w:r w:rsidRPr="00311885">
        <w:rPr>
          <w:rFonts w:ascii="仿宋_GB2312" w:eastAsia="仿宋_GB2312" w:hAnsi="黑体" w:cs="黑体" w:hint="eastAsia"/>
          <w:sz w:val="32"/>
          <w:szCs w:val="32"/>
        </w:rPr>
        <w:t>好</w:t>
      </w:r>
      <w:r>
        <w:rPr>
          <w:rFonts w:ascii="仿宋_GB2312" w:eastAsia="仿宋_GB2312" w:hAnsi="黑体" w:cs="黑体" w:hint="eastAsia"/>
          <w:sz w:val="32"/>
          <w:szCs w:val="32"/>
        </w:rPr>
        <w:t>依申请公开</w:t>
      </w:r>
      <w:r w:rsidRPr="00311885">
        <w:rPr>
          <w:rFonts w:ascii="仿宋_GB2312" w:eastAsia="仿宋_GB2312" w:hAnsi="黑体" w:cs="黑体" w:hint="eastAsia"/>
          <w:sz w:val="32"/>
          <w:szCs w:val="32"/>
        </w:rPr>
        <w:t>答复</w:t>
      </w:r>
      <w:r>
        <w:rPr>
          <w:rFonts w:ascii="仿宋_GB2312" w:eastAsia="仿宋_GB2312" w:hAnsi="黑体" w:cs="黑体" w:hint="eastAsia"/>
          <w:sz w:val="32"/>
          <w:szCs w:val="32"/>
        </w:rPr>
        <w:t>和解释工作</w:t>
      </w:r>
      <w:r w:rsidRPr="00311885">
        <w:rPr>
          <w:rFonts w:ascii="仿宋_GB2312" w:eastAsia="仿宋_GB2312" w:hAnsi="黑体" w:cs="黑体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加强培训与学习，并聘请专业的法律顾问对我街道依申请公开工作进行指导，2020年全年新收政府信息公开申请数量8</w:t>
      </w:r>
      <w:r w:rsidRPr="00311885">
        <w:rPr>
          <w:rFonts w:ascii="仿宋_GB2312" w:eastAsia="仿宋_GB2312" w:hAnsi="黑体" w:cs="黑体" w:hint="eastAsia"/>
          <w:sz w:val="32"/>
          <w:szCs w:val="32"/>
        </w:rPr>
        <w:t>件，</w:t>
      </w:r>
      <w:r>
        <w:rPr>
          <w:rFonts w:ascii="仿宋_GB2312" w:eastAsia="仿宋_GB2312" w:hAnsi="黑体" w:cs="黑体" w:hint="eastAsia"/>
          <w:sz w:val="32"/>
          <w:szCs w:val="32"/>
        </w:rPr>
        <w:t>已全部办理完成</w:t>
      </w:r>
      <w:r w:rsidRPr="00311885">
        <w:rPr>
          <w:rFonts w:ascii="仿宋_GB2312" w:eastAsia="仿宋_GB2312" w:hAnsi="黑体" w:cs="黑体" w:hint="eastAsia"/>
          <w:sz w:val="32"/>
          <w:szCs w:val="32"/>
        </w:rPr>
        <w:t>。</w:t>
      </w:r>
    </w:p>
    <w:p w:rsidR="00F442D3" w:rsidRDefault="00F442D3" w:rsidP="00F442D3">
      <w:pPr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C00CCF">
        <w:rPr>
          <w:rFonts w:ascii="仿宋_GB2312" w:eastAsia="仿宋_GB2312" w:hAnsi="黑体" w:cs="黑体" w:hint="eastAsia"/>
          <w:b/>
          <w:sz w:val="32"/>
          <w:szCs w:val="32"/>
        </w:rPr>
        <w:t>三是深化政府信息全清单动态管理。</w:t>
      </w:r>
      <w:r w:rsidRPr="00311885">
        <w:rPr>
          <w:rFonts w:ascii="仿宋_GB2312" w:eastAsia="仿宋_GB2312" w:hAnsi="黑体" w:cs="黑体" w:hint="eastAsia"/>
          <w:sz w:val="32"/>
          <w:szCs w:val="32"/>
        </w:rPr>
        <w:t>动态管理政府信息全清单，做好主动公开全清单发布和利用</w:t>
      </w:r>
      <w:r>
        <w:rPr>
          <w:rFonts w:ascii="仿宋_GB2312" w:eastAsia="仿宋_GB2312" w:hAnsi="黑体" w:cs="黑体" w:hint="eastAsia"/>
          <w:sz w:val="32"/>
          <w:szCs w:val="32"/>
        </w:rPr>
        <w:t>，</w:t>
      </w:r>
      <w:r w:rsidRPr="004D041E">
        <w:rPr>
          <w:rFonts w:ascii="仿宋_GB2312" w:eastAsia="仿宋_GB2312" w:hAnsi="宋体" w:cs="宋体"/>
          <w:kern w:val="0"/>
          <w:sz w:val="32"/>
          <w:szCs w:val="32"/>
        </w:rPr>
        <w:t>针对公开内容的不同情况，确定公开时间，做到常规性工作定期公开，临时性工作随时公开，固定性工作长期公开。</w:t>
      </w:r>
      <w:r w:rsidRPr="00F308A2">
        <w:rPr>
          <w:rFonts w:ascii="仿宋_GB2312" w:eastAsia="仿宋_GB2312" w:hAnsi="宋体" w:cs="宋体" w:hint="eastAsia"/>
          <w:kern w:val="0"/>
          <w:sz w:val="32"/>
          <w:szCs w:val="32"/>
        </w:rPr>
        <w:t>政策性文件与解读文件同步发布，采用文字、图解图表、视频等容易理解的形式提高解读效果。</w:t>
      </w:r>
    </w:p>
    <w:p w:rsidR="00F442D3" w:rsidRDefault="00F442D3" w:rsidP="00F442D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308A2">
        <w:rPr>
          <w:rFonts w:ascii="仿宋_GB2312" w:eastAsia="仿宋_GB2312" w:hAnsi="宋体" w:cs="宋体" w:hint="eastAsia"/>
          <w:b/>
          <w:kern w:val="0"/>
          <w:sz w:val="32"/>
          <w:szCs w:val="32"/>
        </w:rPr>
        <w:t>四是创新政务公开新渠道。</w:t>
      </w:r>
      <w:r w:rsidRPr="004D041E">
        <w:rPr>
          <w:rFonts w:ascii="仿宋_GB2312" w:eastAsia="仿宋_GB2312" w:hAnsi="宋体" w:cs="宋体"/>
          <w:kern w:val="0"/>
          <w:sz w:val="32"/>
          <w:szCs w:val="32"/>
        </w:rPr>
        <w:t>按照便利、实用、有效的原则，认真创新政府信息公开的新载体、新形式，使</w:t>
      </w:r>
      <w:r w:rsidRPr="004D041E">
        <w:rPr>
          <w:rFonts w:ascii="仿宋_GB2312" w:eastAsia="仿宋_GB2312" w:hAnsi="宋体" w:cs="宋体" w:hint="eastAsia"/>
          <w:kern w:val="0"/>
          <w:sz w:val="32"/>
          <w:szCs w:val="32"/>
        </w:rPr>
        <w:t>政府</w:t>
      </w:r>
      <w:r w:rsidRPr="004D041E">
        <w:rPr>
          <w:rFonts w:ascii="仿宋_GB2312" w:eastAsia="仿宋_GB2312" w:hAnsi="宋体" w:cs="宋体"/>
          <w:kern w:val="0"/>
          <w:sz w:val="32"/>
          <w:szCs w:val="32"/>
        </w:rPr>
        <w:t>信息公开的形式呈现灵活多样。</w:t>
      </w:r>
      <w:r w:rsidRPr="00CC1AA9">
        <w:rPr>
          <w:rFonts w:ascii="仿宋_GB2312" w:eastAsia="仿宋_GB2312" w:hAnsi="宋体" w:cs="宋体"/>
          <w:kern w:val="0"/>
          <w:sz w:val="32"/>
          <w:szCs w:val="32"/>
        </w:rPr>
        <w:t>一方面</w:t>
      </w:r>
      <w:r w:rsidRPr="004D041E">
        <w:rPr>
          <w:rFonts w:ascii="仿宋_GB2312" w:eastAsia="仿宋_GB2312" w:hAnsi="宋体" w:cs="宋体" w:hint="eastAsia"/>
          <w:kern w:val="0"/>
          <w:sz w:val="32"/>
          <w:szCs w:val="32"/>
        </w:rPr>
        <w:t>利用《新景山》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政务微博、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微信公众号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“微微景山”</w:t>
      </w:r>
      <w:r w:rsidRPr="004D041E">
        <w:rPr>
          <w:rFonts w:ascii="仿宋_GB2312" w:eastAsia="仿宋_GB2312" w:hAnsi="宋体" w:cs="宋体" w:hint="eastAsia"/>
          <w:kern w:val="0"/>
          <w:sz w:val="32"/>
          <w:szCs w:val="32"/>
        </w:rPr>
        <w:t>发布街道动态，不定期刊登重点政策解析，引导居民正确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获取</w:t>
      </w:r>
      <w:r w:rsidRPr="004D041E">
        <w:rPr>
          <w:rFonts w:ascii="仿宋_GB2312" w:eastAsia="仿宋_GB2312" w:hAnsi="宋体" w:cs="宋体" w:hint="eastAsia"/>
          <w:kern w:val="0"/>
          <w:sz w:val="32"/>
          <w:szCs w:val="32"/>
        </w:rPr>
        <w:t>政府信息</w:t>
      </w:r>
      <w:r w:rsidRPr="002F568D">
        <w:rPr>
          <w:rFonts w:ascii="仿宋_GB2312" w:eastAsia="仿宋_GB2312"/>
          <w:sz w:val="32"/>
          <w:szCs w:val="32"/>
        </w:rPr>
        <w:t>。</w:t>
      </w:r>
      <w:r w:rsidRPr="00CC1AA9">
        <w:rPr>
          <w:rFonts w:ascii="仿宋_GB2312" w:eastAsia="仿宋_GB2312" w:hAnsi="宋体" w:cs="宋体"/>
          <w:kern w:val="0"/>
          <w:sz w:val="32"/>
          <w:szCs w:val="32"/>
        </w:rPr>
        <w:t>对重大活动和重要工作开展系列宣传和专题宣传</w:t>
      </w:r>
      <w:r w:rsidRPr="00CC1AA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CC1AA9">
        <w:rPr>
          <w:rFonts w:ascii="仿宋_GB2312" w:eastAsia="仿宋_GB2312" w:hAnsi="宋体" w:cs="宋体"/>
          <w:kern w:val="0"/>
          <w:sz w:val="32"/>
          <w:szCs w:val="32"/>
        </w:rPr>
        <w:t>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居民</w:t>
      </w:r>
      <w:r w:rsidRPr="00CC1AA9">
        <w:rPr>
          <w:rFonts w:ascii="仿宋_GB2312" w:eastAsia="仿宋_GB2312" w:hAnsi="宋体" w:cs="宋体"/>
          <w:kern w:val="0"/>
          <w:sz w:val="32"/>
          <w:szCs w:val="32"/>
        </w:rPr>
        <w:t>群众了解、关注和支持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街道</w:t>
      </w:r>
      <w:r w:rsidRPr="00CC1AA9">
        <w:rPr>
          <w:rFonts w:ascii="仿宋_GB2312" w:eastAsia="仿宋_GB2312" w:hAnsi="宋体" w:cs="宋体"/>
          <w:kern w:val="0"/>
          <w:sz w:val="32"/>
          <w:szCs w:val="32"/>
        </w:rPr>
        <w:t>工作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2F568D">
        <w:rPr>
          <w:rFonts w:ascii="仿宋_GB2312" w:eastAsia="仿宋_GB2312"/>
          <w:sz w:val="32"/>
          <w:szCs w:val="32"/>
        </w:rPr>
        <w:t>通过公示</w:t>
      </w:r>
      <w:r w:rsidRPr="002F568D">
        <w:rPr>
          <w:rFonts w:ascii="仿宋_GB2312" w:eastAsia="仿宋_GB2312" w:hint="eastAsia"/>
          <w:sz w:val="32"/>
          <w:szCs w:val="32"/>
        </w:rPr>
        <w:t>、社区开放空间讨论会</w:t>
      </w:r>
      <w:r w:rsidRPr="002F568D">
        <w:rPr>
          <w:rFonts w:ascii="仿宋_GB2312" w:eastAsia="仿宋_GB2312"/>
          <w:sz w:val="32"/>
          <w:szCs w:val="32"/>
        </w:rPr>
        <w:t>和邀请</w:t>
      </w:r>
      <w:r w:rsidRPr="002F568D">
        <w:rPr>
          <w:rFonts w:ascii="仿宋_GB2312" w:eastAsia="仿宋_GB2312" w:hint="eastAsia"/>
          <w:sz w:val="32"/>
          <w:szCs w:val="32"/>
        </w:rPr>
        <w:t>居民代表</w:t>
      </w:r>
      <w:r w:rsidRPr="002F568D">
        <w:rPr>
          <w:rFonts w:ascii="仿宋_GB2312" w:eastAsia="仿宋_GB2312"/>
          <w:sz w:val="32"/>
          <w:szCs w:val="32"/>
        </w:rPr>
        <w:t>旁听</w:t>
      </w:r>
      <w:r w:rsidRPr="002F568D">
        <w:rPr>
          <w:rFonts w:ascii="仿宋_GB2312" w:eastAsia="仿宋_GB2312" w:hint="eastAsia"/>
          <w:sz w:val="32"/>
          <w:szCs w:val="32"/>
        </w:rPr>
        <w:t>街道、社区</w:t>
      </w:r>
      <w:r w:rsidRPr="002F568D">
        <w:rPr>
          <w:rFonts w:ascii="仿宋_GB2312" w:eastAsia="仿宋_GB2312"/>
          <w:sz w:val="32"/>
          <w:szCs w:val="32"/>
        </w:rPr>
        <w:t>有关会议等形式，公开行政决策的过程和结果</w:t>
      </w:r>
      <w:r>
        <w:rPr>
          <w:rFonts w:ascii="仿宋_GB2312" w:eastAsia="仿宋_GB2312" w:hint="eastAsia"/>
          <w:sz w:val="32"/>
          <w:szCs w:val="32"/>
        </w:rPr>
        <w:t>，</w:t>
      </w:r>
      <w:r w:rsidRPr="009E2B9B">
        <w:rPr>
          <w:rFonts w:ascii="仿宋_GB2312" w:eastAsia="仿宋_GB2312"/>
          <w:sz w:val="32"/>
          <w:szCs w:val="32"/>
        </w:rPr>
        <w:t>提高街道政务工作的透明度，促进依法行政</w:t>
      </w:r>
      <w:r w:rsidRPr="009E2B9B">
        <w:rPr>
          <w:rFonts w:ascii="仿宋_GB2312" w:eastAsia="仿宋_GB2312" w:hint="eastAsia"/>
          <w:sz w:val="32"/>
          <w:szCs w:val="32"/>
        </w:rPr>
        <w:t>。</w:t>
      </w:r>
      <w:r w:rsidRPr="00CC1AA9">
        <w:rPr>
          <w:rFonts w:ascii="仿宋_GB2312" w:eastAsia="仿宋_GB2312" w:hAnsi="宋体" w:cs="宋体"/>
          <w:kern w:val="0"/>
          <w:sz w:val="32"/>
          <w:szCs w:val="32"/>
        </w:rPr>
        <w:t>另一方面</w:t>
      </w:r>
      <w:r w:rsidRPr="00CC1AA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4D041E">
        <w:rPr>
          <w:rFonts w:ascii="仿宋_GB2312" w:eastAsia="仿宋_GB2312" w:hAnsi="宋体" w:cs="宋体" w:hint="eastAsia"/>
          <w:kern w:val="0"/>
          <w:sz w:val="32"/>
          <w:szCs w:val="32"/>
        </w:rPr>
        <w:t>将相关政策和办事流程在办事大厅的电子屏幕上滚动播出，定期将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政府公报、</w:t>
      </w:r>
      <w:r w:rsidRPr="004D041E">
        <w:rPr>
          <w:rFonts w:ascii="仿宋_GB2312" w:eastAsia="仿宋_GB2312" w:hAnsi="宋体" w:cs="宋体" w:hint="eastAsia"/>
          <w:kern w:val="0"/>
          <w:sz w:val="32"/>
          <w:szCs w:val="32"/>
        </w:rPr>
        <w:t>政府信息公开指南等文件在办事大厅及各社区事务办理站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Pr="004D041E">
        <w:rPr>
          <w:rFonts w:ascii="仿宋_GB2312" w:eastAsia="仿宋_GB2312" w:hAnsi="宋体" w:cs="宋体" w:hint="eastAsia"/>
          <w:kern w:val="0"/>
          <w:sz w:val="32"/>
          <w:szCs w:val="32"/>
        </w:rPr>
        <w:t>资料架上展出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方便</w:t>
      </w:r>
      <w:r w:rsidRPr="004D041E">
        <w:rPr>
          <w:rFonts w:ascii="仿宋_GB2312" w:eastAsia="仿宋_GB2312" w:hAnsi="宋体" w:cs="宋体" w:hint="eastAsia"/>
          <w:kern w:val="0"/>
          <w:sz w:val="32"/>
          <w:szCs w:val="32"/>
        </w:rPr>
        <w:t>公众了解信息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B6419" w:rsidRPr="00F308A2" w:rsidRDefault="003B6419" w:rsidP="003B641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  <w:r w:rsidRPr="00F308A2"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3B6419" w:rsidRPr="003B6419" w:rsidRDefault="003B6419" w:rsidP="003B6419">
      <w:pPr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tbl>
      <w:tblPr>
        <w:tblW w:w="8613" w:type="dxa"/>
        <w:jc w:val="center"/>
        <w:tblLayout w:type="fixed"/>
        <w:tblLook w:val="0000" w:firstRow="0" w:lastRow="0" w:firstColumn="0" w:lastColumn="0" w:noHBand="0" w:noVBand="0"/>
      </w:tblPr>
      <w:tblGrid>
        <w:gridCol w:w="1572"/>
        <w:gridCol w:w="1230"/>
        <w:gridCol w:w="2175"/>
        <w:gridCol w:w="1887"/>
        <w:gridCol w:w="1749"/>
      </w:tblGrid>
      <w:tr w:rsidR="003B6419" w:rsidTr="003B6419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对外公开总数量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第二十条第（五）项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本年增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处理决定数量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/>
            <w:vAlign w:val="center"/>
          </w:tcPr>
          <w:p w:rsidR="003B6419" w:rsidRDefault="003B6419" w:rsidP="00D21E8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274BF6" w:rsidP="00D21E8F">
            <w:pPr>
              <w:jc w:val="center"/>
            </w:pPr>
            <w:r>
              <w:rPr>
                <w:rFonts w:hint="eastAsia"/>
              </w:rPr>
              <w:t>+1</w:t>
            </w:r>
            <w:r w:rsidR="003B6419"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第二十条第（六）项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本年增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处理决定数量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274BF6" w:rsidP="00D21E8F">
            <w:pPr>
              <w:jc w:val="center"/>
            </w:pPr>
            <w:r>
              <w:rPr>
                <w:rFonts w:hint="eastAsia"/>
              </w:rPr>
              <w:t>+337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AB5BAC" w:rsidP="00D21E8F">
            <w:pPr>
              <w:jc w:val="center"/>
            </w:pPr>
            <w:r w:rsidRPr="00AB5BAC">
              <w:t>122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274BF6" w:rsidP="00D21E8F">
            <w:pPr>
              <w:jc w:val="center"/>
            </w:pPr>
            <w:r>
              <w:rPr>
                <w:rFonts w:hint="eastAsia"/>
              </w:rPr>
              <w:t>+20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AB5BAC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5B9BD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第二十条第（八）项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本年增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减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第二十条第（九）项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3B6419" w:rsidRDefault="003B6419" w:rsidP="00D21E8F">
            <w:pPr>
              <w:jc w:val="center"/>
            </w:pPr>
            <w:proofErr w:type="gramStart"/>
            <w:r>
              <w:rPr>
                <w:rFonts w:hint="eastAsia"/>
              </w:rPr>
              <w:t>采购总</w:t>
            </w:r>
            <w:proofErr w:type="gramEnd"/>
            <w:r>
              <w:rPr>
                <w:rFonts w:hint="eastAsia"/>
              </w:rPr>
              <w:t>金额（万元，保留四位小数）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19" w:rsidRDefault="003B6419" w:rsidP="00D21E8F">
            <w:pPr>
              <w:jc w:val="center"/>
            </w:pPr>
            <w:r w:rsidRPr="00B67EBC">
              <w:t>26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6419" w:rsidRDefault="003B6419" w:rsidP="00D21E8F">
            <w:pPr>
              <w:jc w:val="center"/>
            </w:pPr>
            <w:r w:rsidRPr="00B67EBC">
              <w:t>183.2867</w:t>
            </w:r>
          </w:p>
        </w:tc>
      </w:tr>
    </w:tbl>
    <w:p w:rsidR="003B6419" w:rsidRDefault="003B6419" w:rsidP="003B641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 w:rsidR="003B6419" w:rsidTr="003B6419">
        <w:trPr>
          <w:trHeight w:val="282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r>
              <w:rPr>
                <w:rFonts w:hint="eastAsia"/>
              </w:rPr>
              <w:t>（本列数据的勾</w:t>
            </w:r>
            <w:proofErr w:type="gramStart"/>
            <w:r>
              <w:rPr>
                <w:rFonts w:hint="eastAsia"/>
              </w:rPr>
              <w:t>稽</w:t>
            </w:r>
            <w:proofErr w:type="gramEnd"/>
            <w:r>
              <w:rPr>
                <w:rFonts w:hint="eastAsia"/>
              </w:rPr>
              <w:t>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 w:rsidR="003B6419" w:rsidTr="003B6419">
        <w:trPr>
          <w:trHeight w:val="244"/>
          <w:jc w:val="center"/>
        </w:trPr>
        <w:tc>
          <w:tcPr>
            <w:tcW w:w="4212" w:type="dxa"/>
            <w:gridSpan w:val="3"/>
            <w:vMerge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/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4212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/>
        </w:tc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/>
        </w:tc>
      </w:tr>
      <w:tr w:rsidR="003B6419" w:rsidTr="003B6419">
        <w:trPr>
          <w:trHeight w:val="454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r>
              <w:rPr>
                <w:rFonts w:hint="eastAsia"/>
              </w:rPr>
              <w:t>三、本</w:t>
            </w:r>
            <w:r>
              <w:rPr>
                <w:rFonts w:hint="eastAsia"/>
              </w:rPr>
              <w:lastRenderedPageBreak/>
              <w:t>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（三）不予</w:t>
            </w:r>
          </w:p>
          <w:p w:rsidR="003B6419" w:rsidRDefault="003B6419" w:rsidP="00D21E8F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3.危及“三安全</w:t>
            </w:r>
            <w:proofErr w:type="gramStart"/>
            <w:r>
              <w:rPr>
                <w:rFonts w:ascii="楷体_GB2312" w:eastAsia="楷体_GB2312" w:hint="eastAsia"/>
              </w:rPr>
              <w:t>一</w:t>
            </w:r>
            <w:proofErr w:type="gramEnd"/>
            <w:r>
              <w:rPr>
                <w:rFonts w:ascii="楷体_GB2312" w:eastAsia="楷体_GB2312" w:hint="eastAsia"/>
              </w:rPr>
              <w:t>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（四）无法</w:t>
            </w:r>
          </w:p>
          <w:p w:rsidR="003B6419" w:rsidRDefault="003B6419" w:rsidP="00D21E8F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（五）不予</w:t>
            </w:r>
          </w:p>
          <w:p w:rsidR="003B6419" w:rsidRDefault="003B6419" w:rsidP="00D21E8F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6419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876D91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76D91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D21E8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D21E8F"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76D91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D21E8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D21E8F"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76D91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D21E8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D21E8F"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76D91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D21E8F"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76D91" w:rsidTr="003B6419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D21E8F"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D21E8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D21E8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D21E8F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876D91" w:rsidTr="003B6419">
        <w:trPr>
          <w:trHeight w:val="454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D21E8F">
            <w:bookmarkStart w:id="0" w:name="_GoBack" w:colFirst="1" w:colLast="1"/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91" w:rsidRDefault="00876D91" w:rsidP="0047257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bookmarkEnd w:id="0"/>
    <w:p w:rsidR="003B6419" w:rsidRDefault="003B6419" w:rsidP="003B641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3B6419" w:rsidTr="003B6419">
        <w:trPr>
          <w:trHeight w:val="565"/>
          <w:jc w:val="center"/>
        </w:trPr>
        <w:tc>
          <w:tcPr>
            <w:tcW w:w="2874" w:type="dxa"/>
            <w:gridSpan w:val="5"/>
            <w:tcBorders>
              <w:bottom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 w:rsidR="003B6419" w:rsidTr="003B6419">
        <w:trPr>
          <w:trHeight w:val="5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结</w:t>
            </w:r>
          </w:p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果</w:t>
            </w:r>
          </w:p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维</w:t>
            </w:r>
          </w:p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 w:rsidR="003B6419" w:rsidTr="003B6419">
        <w:trPr>
          <w:jc w:val="center"/>
        </w:trPr>
        <w:tc>
          <w:tcPr>
            <w:tcW w:w="4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</w:p>
        </w:tc>
        <w:tc>
          <w:tcPr>
            <w:tcW w:w="5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</w:p>
        </w:tc>
        <w:tc>
          <w:tcPr>
            <w:tcW w:w="6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</w:p>
        </w:tc>
        <w:tc>
          <w:tcPr>
            <w:tcW w:w="6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</w:p>
        </w:tc>
        <w:tc>
          <w:tcPr>
            <w:tcW w:w="6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 w:rsidR="003B6419" w:rsidTr="003B6419">
        <w:trPr>
          <w:trHeight w:val="584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19" w:rsidRDefault="003B6419" w:rsidP="00D21E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3B6419" w:rsidRDefault="003B6419" w:rsidP="003B6419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:rsidR="00FE5631" w:rsidRPr="00FE5631" w:rsidRDefault="00FE5631" w:rsidP="00FE5631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24"/>
        </w:rPr>
      </w:pPr>
      <w:r w:rsidRPr="00FE5631"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（一）存在的问题</w:t>
      </w:r>
    </w:p>
    <w:p w:rsidR="001C50D1" w:rsidRDefault="00FE5631" w:rsidP="00FE563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E5631">
        <w:rPr>
          <w:rFonts w:ascii="仿宋_GB2312" w:eastAsia="仿宋_GB2312" w:hAnsi="仿宋" w:hint="eastAsia"/>
          <w:sz w:val="32"/>
          <w:szCs w:val="32"/>
        </w:rPr>
        <w:lastRenderedPageBreak/>
        <w:t>一是</w:t>
      </w:r>
      <w:r w:rsidRPr="00FE5631">
        <w:rPr>
          <w:rFonts w:ascii="仿宋_GB2312" w:eastAsia="仿宋_GB2312" w:hAnsi="仿宋"/>
          <w:sz w:val="32"/>
          <w:szCs w:val="32"/>
        </w:rPr>
        <w:t>重点领域公开工作力度有待进一步</w:t>
      </w:r>
      <w:r w:rsidRPr="00FE5631">
        <w:rPr>
          <w:rFonts w:ascii="仿宋_GB2312" w:eastAsia="仿宋_GB2312" w:hAnsi="仿宋" w:hint="eastAsia"/>
          <w:sz w:val="32"/>
          <w:szCs w:val="32"/>
        </w:rPr>
        <w:t>加大，目前公开的内容中内部工作动态所占比例较大，对一些民政、</w:t>
      </w:r>
      <w:r w:rsidRPr="00FE5631">
        <w:rPr>
          <w:rFonts w:ascii="仿宋_GB2312" w:eastAsia="仿宋_GB2312" w:hAnsi="仿宋"/>
          <w:sz w:val="32"/>
          <w:szCs w:val="32"/>
        </w:rPr>
        <w:t>社保</w:t>
      </w:r>
      <w:r w:rsidRPr="00FE5631">
        <w:rPr>
          <w:rFonts w:ascii="仿宋_GB2312" w:eastAsia="仿宋_GB2312" w:hAnsi="仿宋" w:hint="eastAsia"/>
          <w:sz w:val="32"/>
          <w:szCs w:val="32"/>
        </w:rPr>
        <w:t>、</w:t>
      </w:r>
      <w:r w:rsidRPr="00FE5631">
        <w:rPr>
          <w:rFonts w:ascii="仿宋_GB2312" w:eastAsia="仿宋_GB2312" w:hAnsi="仿宋"/>
          <w:sz w:val="32"/>
          <w:szCs w:val="32"/>
        </w:rPr>
        <w:t>教育等与群众生活密切相关的公共服务领域</w:t>
      </w:r>
      <w:r w:rsidRPr="00FE5631">
        <w:rPr>
          <w:rFonts w:ascii="仿宋_GB2312" w:eastAsia="仿宋_GB2312" w:hAnsi="仿宋" w:hint="eastAsia"/>
          <w:sz w:val="32"/>
          <w:szCs w:val="32"/>
        </w:rPr>
        <w:t>公开力度不够。</w:t>
      </w:r>
      <w:r w:rsidR="001C50D1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FE5631" w:rsidRDefault="00FE5631" w:rsidP="00FE563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E5631">
        <w:rPr>
          <w:rFonts w:ascii="仿宋_GB2312" w:eastAsia="仿宋_GB2312" w:hAnsi="仿宋" w:hint="eastAsia"/>
          <w:sz w:val="32"/>
          <w:szCs w:val="32"/>
        </w:rPr>
        <w:t>二是</w:t>
      </w:r>
      <w:r w:rsidRPr="00FE5631">
        <w:rPr>
          <w:rFonts w:ascii="仿宋_GB2312" w:eastAsia="仿宋_GB2312" w:hAnsi="仿宋"/>
          <w:sz w:val="32"/>
          <w:szCs w:val="32"/>
        </w:rPr>
        <w:t>信息公开</w:t>
      </w:r>
      <w:r w:rsidRPr="00FE5631">
        <w:rPr>
          <w:rFonts w:ascii="仿宋_GB2312" w:eastAsia="仿宋_GB2312" w:hAnsi="仿宋" w:hint="eastAsia"/>
          <w:sz w:val="32"/>
          <w:szCs w:val="32"/>
        </w:rPr>
        <w:t>事项</w:t>
      </w:r>
      <w:r w:rsidRPr="00FE5631">
        <w:rPr>
          <w:rFonts w:ascii="仿宋_GB2312" w:eastAsia="仿宋_GB2312" w:hAnsi="仿宋"/>
          <w:sz w:val="32"/>
          <w:szCs w:val="32"/>
        </w:rPr>
        <w:t>办理难度</w:t>
      </w:r>
      <w:r w:rsidRPr="00FE5631">
        <w:rPr>
          <w:rFonts w:ascii="仿宋_GB2312" w:eastAsia="仿宋_GB2312" w:hAnsi="仿宋" w:hint="eastAsia"/>
          <w:sz w:val="32"/>
          <w:szCs w:val="32"/>
        </w:rPr>
        <w:t>呈现</w:t>
      </w:r>
      <w:r w:rsidRPr="00FE5631">
        <w:rPr>
          <w:rFonts w:ascii="仿宋_GB2312" w:eastAsia="仿宋_GB2312" w:hAnsi="仿宋"/>
          <w:sz w:val="32"/>
          <w:szCs w:val="32"/>
        </w:rPr>
        <w:t>逐步加大态势，依申请公开工作办理流程有待进一步规范。</w:t>
      </w:r>
    </w:p>
    <w:p w:rsidR="001C50D1" w:rsidRDefault="001C50D1" w:rsidP="001C50D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50D1">
        <w:rPr>
          <w:rFonts w:ascii="仿宋_GB2312" w:eastAsia="仿宋_GB2312" w:hAnsi="仿宋" w:hint="eastAsia"/>
          <w:sz w:val="32"/>
          <w:szCs w:val="32"/>
        </w:rPr>
        <w:t>三是因信息来源不一，公开信息的文稿质量水平参差不齐，有的公开内容不规范、不具体，重点不突出。要加强</w:t>
      </w:r>
      <w:proofErr w:type="gramStart"/>
      <w:r w:rsidRPr="001C50D1">
        <w:rPr>
          <w:rFonts w:ascii="仿宋_GB2312" w:eastAsia="仿宋_GB2312" w:hAnsi="仿宋" w:hint="eastAsia"/>
          <w:sz w:val="32"/>
          <w:szCs w:val="32"/>
        </w:rPr>
        <w:t>待公开</w:t>
      </w:r>
      <w:proofErr w:type="gramEnd"/>
      <w:r w:rsidRPr="001C50D1">
        <w:rPr>
          <w:rFonts w:ascii="仿宋_GB2312" w:eastAsia="仿宋_GB2312" w:hAnsi="仿宋" w:hint="eastAsia"/>
          <w:sz w:val="32"/>
          <w:szCs w:val="32"/>
        </w:rPr>
        <w:t>信息的审核和管理，加强对公众关注度高的信息的梳理，增强工作透明度。</w:t>
      </w:r>
    </w:p>
    <w:p w:rsidR="001C50D1" w:rsidRPr="001C50D1" w:rsidRDefault="001C50D1" w:rsidP="001C50D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（二）下一步工作打算</w:t>
      </w:r>
    </w:p>
    <w:p w:rsidR="001C50D1" w:rsidRPr="001C50D1" w:rsidRDefault="00967C7A" w:rsidP="001C50D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50D1">
        <w:rPr>
          <w:rFonts w:ascii="仿宋_GB2312" w:eastAsia="仿宋_GB2312" w:hAnsi="仿宋" w:hint="eastAsia"/>
          <w:sz w:val="32"/>
          <w:szCs w:val="32"/>
        </w:rPr>
        <w:t>一是认识还不够到位，少数干部对实行政务公开的重要意义认识不足，对群众的意见重视不够、研究不够，工作上不够主动。要切实加强新条例的学习宣传力度，持续将政务公开作为面向群众的重要工作，认真抓好抓落实，不断增强做好政务公开工作的责任感和使命感。</w:t>
      </w:r>
    </w:p>
    <w:p w:rsidR="00967C7A" w:rsidRPr="001C50D1" w:rsidRDefault="00967C7A" w:rsidP="001C50D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50D1">
        <w:rPr>
          <w:rFonts w:ascii="仿宋_GB2312" w:eastAsia="仿宋_GB2312" w:hAnsi="仿宋" w:hint="eastAsia"/>
          <w:sz w:val="32"/>
          <w:szCs w:val="32"/>
        </w:rPr>
        <w:t>三是人员编制少，无专人专职负责政务公开工作，只能基本按照市区要求完成规定动作，缺乏在政府信息公开上的主动性和创新性。要协调好人员安排，充分发挥主观能动性，积极利用新时代新媒体手段，把政务公开与街道工作的方方面面结合起来，切实为公众提供快捷方便的服务。</w:t>
      </w:r>
    </w:p>
    <w:p w:rsidR="001C50D1" w:rsidRPr="001C50D1" w:rsidRDefault="00967C7A" w:rsidP="00FE563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50D1">
        <w:rPr>
          <w:rFonts w:ascii="仿宋_GB2312" w:eastAsia="仿宋_GB2312" w:hAnsi="仿宋" w:hint="eastAsia"/>
          <w:sz w:val="32"/>
          <w:szCs w:val="32"/>
        </w:rPr>
        <w:t>一是进一步加强信息公开工作的组织领导，继续完善政府信息公开的发布机制，畅通信息发布的渠道，</w:t>
      </w:r>
      <w:r w:rsidR="001C50D1" w:rsidRPr="00FE5631">
        <w:rPr>
          <w:rFonts w:ascii="仿宋_GB2312" w:eastAsia="仿宋_GB2312" w:hAnsi="仿宋"/>
          <w:sz w:val="32"/>
          <w:szCs w:val="32"/>
        </w:rPr>
        <w:t>加强信息审核、发布、监督等工作，</w:t>
      </w:r>
      <w:r w:rsidR="001C50D1" w:rsidRPr="00FE5631">
        <w:rPr>
          <w:rFonts w:ascii="仿宋_GB2312" w:eastAsia="仿宋_GB2312" w:hAnsi="仿宋" w:hint="eastAsia"/>
          <w:sz w:val="32"/>
          <w:szCs w:val="32"/>
        </w:rPr>
        <w:t>保证公开信息的准确性，</w:t>
      </w:r>
      <w:r w:rsidR="001C50D1" w:rsidRPr="00FE5631">
        <w:rPr>
          <w:rFonts w:ascii="仿宋_GB2312" w:eastAsia="仿宋_GB2312" w:hAnsi="仿宋"/>
          <w:sz w:val="32"/>
          <w:szCs w:val="32"/>
        </w:rPr>
        <w:t>促进工作的规范化、常态化。</w:t>
      </w:r>
    </w:p>
    <w:p w:rsidR="001C50D1" w:rsidRPr="001C50D1" w:rsidRDefault="00967C7A" w:rsidP="00FE563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50D1">
        <w:rPr>
          <w:rFonts w:ascii="仿宋_GB2312" w:eastAsia="仿宋_GB2312" w:hAnsi="仿宋" w:hint="eastAsia"/>
          <w:sz w:val="32"/>
          <w:szCs w:val="32"/>
        </w:rPr>
        <w:lastRenderedPageBreak/>
        <w:t>二是进一步强化协调机制，加大财政、民生、综合执法等重点领域公开力度，不断扩大信息公开的范围和内容，创新公开形式，推进政府信息公开工作再上新台阶。</w:t>
      </w:r>
    </w:p>
    <w:p w:rsidR="00967C7A" w:rsidRPr="00967C7A" w:rsidRDefault="001C50D1" w:rsidP="00FE563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50D1">
        <w:rPr>
          <w:rFonts w:ascii="仿宋_GB2312" w:eastAsia="仿宋_GB2312" w:hAnsi="仿宋" w:hint="eastAsia"/>
          <w:sz w:val="32"/>
          <w:szCs w:val="32"/>
        </w:rPr>
        <w:t>三是进一步加强</w:t>
      </w:r>
      <w:r w:rsidR="00967C7A" w:rsidRPr="001C50D1">
        <w:rPr>
          <w:rFonts w:ascii="仿宋_GB2312" w:eastAsia="仿宋_GB2312" w:hAnsi="仿宋" w:hint="eastAsia"/>
          <w:sz w:val="32"/>
          <w:szCs w:val="32"/>
        </w:rPr>
        <w:t>对信息公开工作人员的业务培训，提高工作人员对信息公开及保密工作的认识水平和政策把握能力，进一步明确工作要求，规范工作流程，切实抓好主动公开、依申请公开、协调机制建设等关键环节，逐步健全信息公开组织管理体系。</w:t>
      </w:r>
    </w:p>
    <w:p w:rsidR="003B6419" w:rsidRDefault="003B6419" w:rsidP="003B6419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DF5DB4" w:rsidRPr="00FE5631" w:rsidRDefault="003B6419" w:rsidP="00FE5631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 xml:space="preserve">　　</w:t>
      </w:r>
      <w:r w:rsidR="00FE563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无</w:t>
      </w:r>
    </w:p>
    <w:sectPr w:rsidR="00DF5DB4" w:rsidRPr="00FE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F83" w:rsidRDefault="00921F83" w:rsidP="00E577A6">
      <w:r>
        <w:separator/>
      </w:r>
    </w:p>
  </w:endnote>
  <w:endnote w:type="continuationSeparator" w:id="0">
    <w:p w:rsidR="00921F83" w:rsidRDefault="00921F83" w:rsidP="00E5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F83" w:rsidRDefault="00921F83" w:rsidP="00E577A6">
      <w:r>
        <w:separator/>
      </w:r>
    </w:p>
  </w:footnote>
  <w:footnote w:type="continuationSeparator" w:id="0">
    <w:p w:rsidR="00921F83" w:rsidRDefault="00921F83" w:rsidP="00E5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C2A"/>
    <w:multiLevelType w:val="hybridMultilevel"/>
    <w:tmpl w:val="1EBC7C0A"/>
    <w:lvl w:ilvl="0" w:tplc="7AFE052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D3"/>
    <w:rsid w:val="00043A69"/>
    <w:rsid w:val="000E0BD7"/>
    <w:rsid w:val="001C50D1"/>
    <w:rsid w:val="00274BF6"/>
    <w:rsid w:val="003B6419"/>
    <w:rsid w:val="00497CEF"/>
    <w:rsid w:val="00876D91"/>
    <w:rsid w:val="00921F83"/>
    <w:rsid w:val="00967C7A"/>
    <w:rsid w:val="00AB5BAC"/>
    <w:rsid w:val="00DB4BF9"/>
    <w:rsid w:val="00DF5DB4"/>
    <w:rsid w:val="00E577A6"/>
    <w:rsid w:val="00F442D3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7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7A6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67C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7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7A6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67C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479</Words>
  <Characters>2731</Characters>
  <Application>Microsoft Office Word</Application>
  <DocSecurity>0</DocSecurity>
  <Lines>22</Lines>
  <Paragraphs>6</Paragraphs>
  <ScaleCrop>false</ScaleCrop>
  <Company>Microsoft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2021-01-08T03:16:00Z</dcterms:created>
  <dcterms:modified xsi:type="dcterms:W3CDTF">2021-01-13T02:16:00Z</dcterms:modified>
</cp:coreProperties>
</file>