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20"/>
        <w:jc w:val="center"/>
      </w:pPr>
      <w:r>
        <w:rPr>
          <w:rFonts w:hint="eastAsia" w:ascii="宋体" w:hAnsi="宋体" w:eastAsia="宋体" w:cs="宋体"/>
          <w:b/>
          <w:kern w:val="2"/>
          <w:sz w:val="36"/>
          <w:szCs w:val="36"/>
          <w:lang w:val="en-US" w:eastAsia="zh-CN" w:bidi="ar"/>
        </w:rPr>
        <w:t>北京市东城区城市管理委员会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20"/>
        <w:jc w:val="center"/>
      </w:pPr>
      <w:r>
        <w:rPr>
          <w:rFonts w:hint="eastAsia" w:ascii="宋体" w:hAnsi="宋体" w:eastAsia="宋体" w:cs="华文中宋"/>
          <w:b/>
          <w:kern w:val="2"/>
          <w:sz w:val="36"/>
          <w:szCs w:val="36"/>
          <w:lang w:val="en-US" w:eastAsia="zh-CN" w:bidi="ar"/>
        </w:rPr>
        <w:t>2019年政府信息公开工作年度报告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Fonts w:hint="eastAsia" w:ascii="宋体" w:hAnsi="宋体" w:eastAsia="宋体" w:cs="宋体"/>
          <w:color w:val="000000"/>
          <w:kern w:val="0"/>
          <w:sz w:val="24"/>
          <w:szCs w:val="24"/>
          <w:shd w:val="clear" w:fill="FFFFFF"/>
          <w:lang w:val="en-US" w:eastAsia="zh-CN" w:bidi="ar"/>
        </w:rPr>
        <w:t>依据《中华人民共和国政府信息公开条例》第五十条之规定，制作本报告。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宋体" w:hAnsi="宋体" w:eastAsia="宋体" w:cs="宋体"/>
          <w:b/>
          <w:kern w:val="2"/>
          <w:sz w:val="24"/>
          <w:szCs w:val="24"/>
          <w:lang w:val="en-US" w:eastAsia="zh-CN" w:bidi="ar"/>
        </w:rPr>
        <w:t>一、总体情况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20"/>
        <w:jc w:val="left"/>
      </w:pPr>
      <w:r>
        <w:rPr>
          <w:rFonts w:hint="eastAsia" w:ascii="宋体" w:hAnsi="宋体" w:eastAsia="宋体" w:cs="宋体"/>
          <w:color w:val="000000"/>
          <w:kern w:val="0"/>
          <w:sz w:val="24"/>
          <w:szCs w:val="24"/>
          <w:lang w:val="en-US" w:eastAsia="zh-CN" w:bidi="ar"/>
        </w:rPr>
        <w:t>1.主动公开情况；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Fonts w:hint="eastAsia" w:ascii="宋体" w:hAnsi="宋体" w:eastAsia="宋体" w:cs="宋体"/>
          <w:color w:val="000000"/>
          <w:kern w:val="0"/>
          <w:sz w:val="24"/>
          <w:szCs w:val="24"/>
          <w:shd w:val="clear" w:fill="FFFFFF"/>
          <w:lang w:val="en-US" w:eastAsia="zh-CN" w:bidi="ar"/>
        </w:rPr>
        <w:t>我委2019年度共主动公开政府信息422条，其中，机构职能类9条、更新工作动态380条、水务信息12条、优化营商环境信息21条，行政许可及行政处罚“双公示”613条。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（一）专项规划及重大项目实施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Fonts w:hint="eastAsia" w:ascii="宋体" w:hAnsi="宋体" w:eastAsia="宋体" w:cs="宋体"/>
          <w:color w:val="000000"/>
          <w:kern w:val="0"/>
          <w:sz w:val="24"/>
          <w:szCs w:val="24"/>
          <w:shd w:val="clear" w:fill="FFFFFF"/>
          <w:lang w:val="en-US" w:eastAsia="zh-CN" w:bidi="ar"/>
        </w:rPr>
        <w:t>一是深化背街小巷环境提升。“百街千巷”三年行动计划基本完成，累计整治提升1175条街巷。二是严格落实新版《北京市生活垃圾管理条例》。巩固垃圾分类过程中强制分类、规范分类、深度知晓和普遍参与分类等成效，党政机关和事业单位强制分类达到100%，全部街道通过北京市垃圾分类示范区验收，各项指标力争保持全市领先水平。三是推进公厕品质提升。完成340座公厕品质改造提升，全区公厕等级达标率100%。四是交通拥堵有效缓解。学校、医院周边交通秩序明显改善，高峰时段平均道路交通拥堵指数较去年同期下降8%。新增停车位1000余个，实现全区85条道路6000余个停车位电子收费全覆盖，道路停车秩序明显改善，停车入位率达90%以上。五是河长制工作稳步推进，依托三级河长制和社会力量，实现全区巡河常态化，全年共巡河700余人次、2000余公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（二）财政预算及决算信息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在“数字东城”门户网站及时发布城市管理各类会议、调研、培训类相关信息。并按相关部门要求，及时公开我委预决算情况。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（三）深化环境与拥堵治理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一是坚持在深化疏解、强化治理、优化提升上下功夫，打造可持续发展的城市空间，留住城市历史记忆，传承城市文化基因，凝练城市发展品格。二是进一步消除堵点，改善拥堵指数，完成5处疏堵工程，实施18公里慢行系统建设，继续开展学校、医院周边交通秩序整治，实现年度拥堵指数继续下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2.依申请公开办理情况；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2019年，受理申请总数为4件，4件均为为互联网申请，并全部按期答复。已答复的申请中：“予以公开”2项，“本机关不掌握相关政府信息”2项。政府信息收费情况，无。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3.政府信息资源的规范化、标准化管理情况；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我局政府信息公开工作由局政府信息公开工作领导小组负责业务指导，局办公室负责具体承办。政府信息的属性属于主动公开的按不同信息的公开时限要求，通过数字东城网站或其他上级部门规定的途径进行主动公开，其他信息经领导小组审定公开属性，并由局办公室具体执行。政府信息的发布主要由局办公室、信息中心负责，确保发布信息的准确性和一致性，方便社会公众查询或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宋体" w:hAnsi="宋体" w:eastAsia="宋体" w:cs="宋体"/>
          <w:b/>
          <w:kern w:val="2"/>
          <w:sz w:val="24"/>
          <w:szCs w:val="24"/>
          <w:lang w:val="en-US" w:eastAsia="zh-CN" w:bidi="ar"/>
        </w:rPr>
        <w:t>二、主动公开政府信息情况</w:t>
      </w:r>
    </w:p>
    <w:tbl>
      <w:tblPr>
        <w:tblStyle w:val="4"/>
        <w:tblW w:w="8522" w:type="dxa"/>
        <w:jc w:val="center"/>
        <w:tblInd w:w="0" w:type="dxa"/>
        <w:shd w:val="clear" w:color="auto" w:fill="auto"/>
        <w:tblLayout w:type="fixed"/>
        <w:tblCellMar>
          <w:top w:w="0" w:type="dxa"/>
          <w:left w:w="108" w:type="dxa"/>
          <w:bottom w:w="0" w:type="dxa"/>
          <w:right w:w="108" w:type="dxa"/>
        </w:tblCellMar>
      </w:tblPr>
      <w:tblGrid>
        <w:gridCol w:w="2278"/>
        <w:gridCol w:w="1041"/>
        <w:gridCol w:w="1658"/>
        <w:gridCol w:w="1887"/>
        <w:gridCol w:w="1658"/>
      </w:tblGrid>
      <w:tr>
        <w:tblPrEx>
          <w:shd w:val="clear" w:color="auto" w:fill="auto"/>
          <w:tblLayout w:type="fixed"/>
          <w:tblCellMar>
            <w:top w:w="0" w:type="dxa"/>
            <w:left w:w="108" w:type="dxa"/>
            <w:bottom w:w="0" w:type="dxa"/>
            <w:right w:w="108" w:type="dxa"/>
          </w:tblCellMar>
        </w:tblPrEx>
        <w:trPr>
          <w:trHeight w:val="630"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信息内容</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本年新制作数量</w:t>
            </w:r>
          </w:p>
        </w:tc>
        <w:tc>
          <w:tcPr>
            <w:tcW w:w="1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本年新公开数量</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对外公开总数量</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规章</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规范性文件</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1</w:t>
            </w:r>
          </w:p>
        </w:tc>
        <w:tc>
          <w:tcPr>
            <w:tcW w:w="1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1</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0"/>
                <w:sz w:val="20"/>
                <w:szCs w:val="20"/>
                <w:lang w:val="en-US" w:eastAsia="zh-CN" w:bidi="ar"/>
              </w:rPr>
              <w:t>1</w:t>
            </w:r>
          </w:p>
        </w:tc>
      </w:tr>
      <w:tr>
        <w:tblPrEx>
          <w:tblLayout w:type="fixed"/>
          <w:tblCellMar>
            <w:top w:w="0" w:type="dxa"/>
            <w:left w:w="108" w:type="dxa"/>
            <w:bottom w:w="0" w:type="dxa"/>
            <w:right w:w="108" w:type="dxa"/>
          </w:tblCellMar>
        </w:tblPrEx>
        <w:trPr>
          <w:trHeight w:val="630"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信息内容</w:t>
            </w:r>
          </w:p>
        </w:tc>
        <w:tc>
          <w:tcPr>
            <w:tcW w:w="1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上一年项目数量</w:t>
            </w:r>
          </w:p>
        </w:tc>
        <w:tc>
          <w:tcPr>
            <w:tcW w:w="18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本年增/减</w:t>
            </w:r>
          </w:p>
        </w:tc>
        <w:tc>
          <w:tcPr>
            <w:tcW w:w="1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行政许可</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19</w:t>
            </w:r>
          </w:p>
        </w:tc>
        <w:tc>
          <w:tcPr>
            <w:tcW w:w="1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613</w:t>
            </w:r>
          </w:p>
        </w:tc>
      </w:tr>
      <w:tr>
        <w:tblPrEx>
          <w:tblLayout w:type="fixed"/>
          <w:tblCellMar>
            <w:top w:w="0" w:type="dxa"/>
            <w:left w:w="108" w:type="dxa"/>
            <w:bottom w:w="0" w:type="dxa"/>
            <w:right w:w="108" w:type="dxa"/>
          </w:tblCellMar>
        </w:tblPrEx>
        <w:trPr>
          <w:trHeight w:val="630" w:hRule="atLeast"/>
          <w:jc w:val="center"/>
        </w:trPr>
        <w:tc>
          <w:tcPr>
            <w:tcW w:w="227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0"/>
                <w:sz w:val="20"/>
                <w:szCs w:val="20"/>
                <w:lang w:val="en-US" w:eastAsia="zh-CN" w:bidi="ar"/>
              </w:rPr>
              <w:t>行政检查</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4</w:t>
            </w:r>
          </w:p>
        </w:tc>
        <w:tc>
          <w:tcPr>
            <w:tcW w:w="1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97</w:t>
            </w:r>
          </w:p>
        </w:tc>
      </w:tr>
      <w:tr>
        <w:tblPrEx>
          <w:tblLayout w:type="fixed"/>
          <w:tblCellMar>
            <w:top w:w="0" w:type="dxa"/>
            <w:left w:w="108" w:type="dxa"/>
            <w:bottom w:w="0" w:type="dxa"/>
            <w:right w:w="108" w:type="dxa"/>
          </w:tblCellMar>
        </w:tblPrEx>
        <w:trPr>
          <w:trHeight w:val="630" w:hRule="atLeast"/>
          <w:jc w:val="center"/>
        </w:trPr>
        <w:tc>
          <w:tcPr>
            <w:tcW w:w="2278"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Arial" w:hAnsi="Arial" w:cs="Arial"/>
                <w:sz w:val="21"/>
                <w:szCs w:val="21"/>
              </w:rPr>
            </w:pPr>
          </w:p>
        </w:tc>
        <w:tc>
          <w:tcPr>
            <w:tcW w:w="1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0"/>
                <w:sz w:val="20"/>
                <w:szCs w:val="20"/>
                <w:lang w:val="en-US" w:eastAsia="zh-CN" w:bidi="ar"/>
              </w:rPr>
              <w:t>行政确认</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108" w:type="dxa"/>
            <w:bottom w:w="0" w:type="dxa"/>
            <w:right w:w="108" w:type="dxa"/>
          </w:tblCellMar>
        </w:tblPrEx>
        <w:trPr>
          <w:trHeight w:val="630"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信息内容</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上一年项目数量</w:t>
            </w:r>
          </w:p>
        </w:tc>
        <w:tc>
          <w:tcPr>
            <w:tcW w:w="1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本年增/减</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行政处罚</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行政强制</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108" w:type="dxa"/>
            <w:bottom w:w="0" w:type="dxa"/>
            <w:right w:w="108" w:type="dxa"/>
          </w:tblCellMar>
        </w:tblPrEx>
        <w:trPr>
          <w:trHeight w:val="630" w:hRule="atLeast"/>
          <w:jc w:val="center"/>
        </w:trPr>
        <w:tc>
          <w:tcPr>
            <w:tcW w:w="8522" w:type="dxa"/>
            <w:gridSpan w:val="5"/>
            <w:tcBorders>
              <w:top w:val="single" w:color="auto" w:sz="4" w:space="0"/>
              <w:left w:val="single" w:color="auto" w:sz="4" w:space="0"/>
              <w:bottom w:val="single" w:color="000000" w:sz="8" w:space="0"/>
              <w:right w:val="single" w:color="auto" w:sz="4" w:space="0"/>
            </w:tcBorders>
            <w:shd w:val="clear" w:color="auto" w:fill="C6D9F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000000" w:sz="8"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信息内容</w:t>
            </w:r>
          </w:p>
        </w:tc>
        <w:tc>
          <w:tcPr>
            <w:tcW w:w="1658" w:type="dxa"/>
            <w:tcBorders>
              <w:top w:val="single" w:color="000000" w:sz="8"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上一年项目数量</w:t>
            </w:r>
          </w:p>
        </w:tc>
        <w:tc>
          <w:tcPr>
            <w:tcW w:w="3545" w:type="dxa"/>
            <w:gridSpan w:val="2"/>
            <w:tcBorders>
              <w:top w:val="single" w:color="000000" w:sz="8" w:space="0"/>
              <w:left w:val="nil"/>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行政事业性收费</w:t>
            </w:r>
          </w:p>
        </w:tc>
        <w:tc>
          <w:tcPr>
            <w:tcW w:w="1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0</w:t>
            </w:r>
          </w:p>
        </w:tc>
        <w:tc>
          <w:tcPr>
            <w:tcW w:w="3545"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3</w:t>
            </w:r>
            <w:bookmarkStart w:id="0" w:name="_GoBack"/>
            <w:bookmarkEnd w:id="0"/>
          </w:p>
        </w:tc>
      </w:tr>
      <w:tr>
        <w:tblPrEx>
          <w:tblLayout w:type="fixed"/>
          <w:tblCellMar>
            <w:top w:w="0" w:type="dxa"/>
            <w:left w:w="108" w:type="dxa"/>
            <w:bottom w:w="0" w:type="dxa"/>
            <w:right w:w="108" w:type="dxa"/>
          </w:tblCellMar>
        </w:tblPrEx>
        <w:trPr>
          <w:trHeight w:val="630"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第二十条第（九）项</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信息内容</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采购项目数量</w:t>
            </w:r>
          </w:p>
        </w:tc>
        <w:tc>
          <w:tcPr>
            <w:tcW w:w="3545"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采购总金额（万元，保留四位小数）</w:t>
            </w:r>
          </w:p>
        </w:tc>
      </w:tr>
      <w:tr>
        <w:tblPrEx>
          <w:tblLayout w:type="fixed"/>
          <w:tblCellMar>
            <w:top w:w="0" w:type="dxa"/>
            <w:left w:w="108" w:type="dxa"/>
            <w:bottom w:w="0" w:type="dxa"/>
            <w:right w:w="108" w:type="dxa"/>
          </w:tblCellMar>
        </w:tblPrEx>
        <w:trPr>
          <w:trHeight w:val="630" w:hRule="atLeast"/>
          <w:jc w:val="center"/>
        </w:trPr>
        <w:tc>
          <w:tcPr>
            <w:tcW w:w="331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政府集中采购</w:t>
            </w:r>
          </w:p>
        </w:tc>
        <w:tc>
          <w:tcPr>
            <w:tcW w:w="16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4</w:t>
            </w:r>
          </w:p>
        </w:tc>
        <w:tc>
          <w:tcPr>
            <w:tcW w:w="3545"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48.1300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宋体" w:hAnsi="宋体" w:eastAsia="宋体" w:cs="宋体"/>
          <w:b/>
          <w:kern w:val="2"/>
          <w:sz w:val="24"/>
          <w:szCs w:val="24"/>
          <w:lang w:val="en-US" w:eastAsia="zh-CN" w:bidi="ar"/>
        </w:rPr>
        <w:t>三、收到和处理政府信息公开申请情况</w:t>
      </w:r>
    </w:p>
    <w:tbl>
      <w:tblPr>
        <w:tblStyle w:val="4"/>
        <w:tblW w:w="9071"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8"/>
        <w:gridCol w:w="854"/>
        <w:gridCol w:w="2086"/>
        <w:gridCol w:w="814"/>
        <w:gridCol w:w="755"/>
        <w:gridCol w:w="755"/>
        <w:gridCol w:w="814"/>
        <w:gridCol w:w="974"/>
        <w:gridCol w:w="712"/>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自然人</w:t>
            </w:r>
          </w:p>
        </w:tc>
        <w:tc>
          <w:tcPr>
            <w:tcW w:w="401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法人或其他组织</w:t>
            </w:r>
          </w:p>
        </w:tc>
        <w:tc>
          <w:tcPr>
            <w:tcW w:w="68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209" w:hRule="atLeast"/>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科研机构</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社会公益组织</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法律服务机构</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其他</w:t>
            </w:r>
          </w:p>
        </w:tc>
        <w:tc>
          <w:tcPr>
            <w:tcW w:w="68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58"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000000"/>
                <w:kern w:val="0"/>
                <w:sz w:val="20"/>
                <w:szCs w:val="20"/>
                <w:lang w:val="en-US" w:eastAsia="zh-CN" w:bidi="ar"/>
              </w:rPr>
              <w:t>一、本年新收政府信息公开申请数量</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1"/>
                <w:szCs w:val="21"/>
                <w:lang w:val="en-US" w:eastAsia="zh-CN" w:bidi="ar"/>
              </w:rPr>
              <w:t>4</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58"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000000"/>
                <w:kern w:val="0"/>
                <w:sz w:val="20"/>
                <w:szCs w:val="20"/>
                <w:lang w:val="en-US" w:eastAsia="zh-CN" w:bidi="ar"/>
              </w:rPr>
              <w:t>二、上年结转政府信息公开申请数量</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三、本年度办理结果</w:t>
            </w:r>
          </w:p>
        </w:tc>
        <w:tc>
          <w:tcPr>
            <w:tcW w:w="294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ascii="楷体" w:hAnsi="楷体" w:eastAsia="楷体" w:cs="楷体"/>
                <w:color w:val="000000"/>
                <w:kern w:val="0"/>
                <w:sz w:val="20"/>
                <w:szCs w:val="20"/>
                <w:lang w:val="en-US" w:eastAsia="zh-CN" w:bidi="ar"/>
              </w:rPr>
              <w:t>（一）予以公开</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1"/>
                <w:szCs w:val="21"/>
                <w:lang w:val="en-US" w:eastAsia="zh-CN" w:bidi="ar"/>
              </w:rPr>
              <w:t>2</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94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（二）部分公开（区分处理的，只计这一情形，不计其他情形）</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楷体" w:hAnsi="楷体" w:eastAsia="楷体" w:cs="楷体"/>
                <w:color w:val="000000"/>
                <w:kern w:val="0"/>
                <w:sz w:val="20"/>
                <w:szCs w:val="20"/>
                <w:lang w:val="en-US" w:eastAsia="zh-CN" w:bidi="ar"/>
              </w:rPr>
              <w:t>（三）不予公开</w:t>
            </w:r>
          </w:p>
        </w:tc>
        <w:tc>
          <w:tcPr>
            <w:tcW w:w="20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楷体" w:hAnsi="楷体" w:eastAsia="楷体" w:cs="楷体"/>
                <w:color w:val="000000"/>
                <w:kern w:val="0"/>
                <w:sz w:val="20"/>
                <w:szCs w:val="20"/>
                <w:lang w:val="en-US" w:eastAsia="zh-CN" w:bidi="ar"/>
              </w:rPr>
              <w:t>1.属于国家秘密</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2.其他法律行政法规禁止公开</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3.危及“三安全一稳定”</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4.保护第三方合法权益</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5.属于三类内部事务信息</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6.属于四类过程性信息</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楷体" w:hAnsi="楷体" w:eastAsia="楷体" w:cs="楷体"/>
                <w:color w:val="000000"/>
                <w:kern w:val="0"/>
                <w:sz w:val="20"/>
                <w:szCs w:val="20"/>
                <w:lang w:val="en-US" w:eastAsia="zh-CN" w:bidi="ar"/>
              </w:rPr>
              <w:t>7.属于行政执法案卷</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楷体" w:hAnsi="楷体" w:eastAsia="楷体" w:cs="楷体"/>
                <w:color w:val="000000"/>
                <w:kern w:val="0"/>
                <w:sz w:val="20"/>
                <w:szCs w:val="20"/>
                <w:lang w:val="en-US" w:eastAsia="zh-CN" w:bidi="ar"/>
              </w:rPr>
              <w:t>8.属于行政查询事项</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楷体" w:hAnsi="楷体" w:eastAsia="楷体" w:cs="楷体"/>
                <w:color w:val="000000"/>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1.本机关不掌握相关政府信息</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2</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2.没有现成信息需要另行制作</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3.补正后申请内容仍不明确</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楷体" w:hAnsi="楷体" w:eastAsia="楷体" w:cs="楷体"/>
                <w:color w:val="000000"/>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1.信访举报投诉类申请</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楷体" w:hAnsi="楷体" w:eastAsia="楷体" w:cs="楷体"/>
                <w:color w:val="000000"/>
                <w:kern w:val="0"/>
                <w:sz w:val="20"/>
                <w:szCs w:val="20"/>
                <w:lang w:val="en-US" w:eastAsia="zh-CN" w:bidi="ar"/>
              </w:rPr>
              <w:t>2.重复申请</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3.要求提供公开出版物</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4.无正当理由大量反复申请</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color w:val="000000"/>
                <w:kern w:val="0"/>
                <w:sz w:val="20"/>
                <w:szCs w:val="20"/>
                <w:lang w:val="en-US" w:eastAsia="zh-CN" w:bidi="ar"/>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楷体" w:hAnsi="楷体" w:eastAsia="楷体" w:cs="楷体"/>
                <w:color w:val="000000"/>
                <w:kern w:val="0"/>
                <w:sz w:val="20"/>
                <w:szCs w:val="20"/>
                <w:lang w:val="en-US" w:eastAsia="zh-CN" w:bidi="ar"/>
              </w:rPr>
              <w:t>（六）其他处理</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楷体" w:hAnsi="楷体" w:eastAsia="楷体" w:cs="楷体"/>
                <w:color w:val="000000"/>
                <w:kern w:val="0"/>
                <w:sz w:val="20"/>
                <w:szCs w:val="20"/>
                <w:lang w:val="en-US" w:eastAsia="zh-CN" w:bidi="ar"/>
              </w:rPr>
              <w:t>（七）总计</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1"/>
                <w:szCs w:val="21"/>
                <w:lang w:val="en-US" w:eastAsia="zh-CN" w:bidi="ar"/>
              </w:rPr>
              <w:t>4</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000000"/>
                <w:kern w:val="0"/>
                <w:sz w:val="20"/>
                <w:szCs w:val="20"/>
                <w:lang w:val="en-US" w:eastAsia="zh-CN" w:bidi="ar"/>
              </w:rPr>
              <w:t>四、结转下年度继续办理</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kern w:val="2"/>
                <w:sz w:val="21"/>
                <w:szCs w:val="21"/>
                <w:lang w:val="en-US" w:eastAsia="zh-CN" w:bidi="ar"/>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2"/>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宋体" w:hAnsi="宋体" w:eastAsia="宋体" w:cs="宋体"/>
          <w:b/>
          <w:kern w:val="2"/>
          <w:sz w:val="24"/>
          <w:szCs w:val="24"/>
          <w:lang w:val="en-US" w:eastAsia="zh-CN" w:bidi="ar"/>
        </w:rPr>
        <w:t>四、政府信息公开行政复议、行政诉讼情况</w:t>
      </w:r>
    </w:p>
    <w:tbl>
      <w:tblPr>
        <w:tblStyle w:val="4"/>
        <w:tblW w:w="9071"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总 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sz w:val="21"/>
                <w:szCs w:val="21"/>
              </w:rPr>
            </w:pPr>
          </w:p>
        </w:tc>
        <w:tc>
          <w:tcPr>
            <w:tcW w:w="5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5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2</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2</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Calibri" w:eastAsia="宋体" w:cs="宋体"/>
                <w:color w:val="000000"/>
                <w:kern w:val="2"/>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宋体" w:hAnsi="宋体" w:eastAsia="宋体" w:cs="宋体"/>
          <w:b/>
          <w:kern w:val="2"/>
          <w:sz w:val="24"/>
          <w:szCs w:val="24"/>
          <w:lang w:val="en-US" w:eastAsia="zh-CN" w:bidi="ar"/>
        </w:rPr>
        <w:t>五、政府信息公开工作存在的主要问题及改进情况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一是政府信息公开工作队伍相对薄弱。现有的政府信息公开工作队伍与日益繁重的信息公开任务不相适应，目前尚依托委办公室开展工作，无专职工作人员，仅有1名兼职工作人员承担该项工作，一定程度上影响信息公开的效率；继续加强信息公开工作队伍建设，以提高我委政府信息公开工作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二是个别工作人员对政府信息公开意识不够强，认识有待提高。持续加强与工作人员的衔接和沟通，确保将信息收集与公开同步进行，确保信息公开及时、准确、全面。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480" w:firstLineChars="200"/>
        <w:jc w:val="left"/>
      </w:pPr>
      <w:r>
        <w:rPr>
          <w:rFonts w:hint="eastAsia" w:ascii="宋体" w:hAnsi="宋体" w:eastAsia="宋体" w:cs="宋体"/>
          <w:color w:val="000000"/>
          <w:kern w:val="0"/>
          <w:sz w:val="24"/>
          <w:szCs w:val="24"/>
          <w:lang w:val="en-US" w:eastAsia="zh-CN" w:bidi="ar"/>
        </w:rPr>
        <w:t>三是政府信息公开形式有待拓展。针对信息公开工作中不断出现的新情况、新问题，积极探索新措施、新方法，如通过增设公开栏等形式丰富政府信息公开渠道，不断拓展政府信息公开形式。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宋体" w:hAnsi="宋体" w:eastAsia="宋体" w:cs="宋体"/>
          <w:b/>
          <w:kern w:val="2"/>
          <w:sz w:val="24"/>
          <w:szCs w:val="24"/>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left"/>
      </w:pPr>
      <w:r>
        <w:rPr>
          <w:rFonts w:ascii="新宋体" w:hAnsi="新宋体" w:eastAsia="新宋体" w:cs="新宋体"/>
          <w:kern w:val="2"/>
          <w:sz w:val="24"/>
          <w:szCs w:val="24"/>
          <w:lang w:val="en-US" w:eastAsia="zh-CN" w:bidi="ar"/>
        </w:rPr>
        <w:t>北京市东城区人民政府（</w:t>
      </w:r>
      <w:r>
        <w:rPr>
          <w:rFonts w:hint="eastAsia" w:ascii="新宋体" w:hAnsi="新宋体" w:eastAsia="新宋体" w:cs="新宋体"/>
          <w:kern w:val="2"/>
          <w:sz w:val="24"/>
          <w:szCs w:val="24"/>
          <w:lang w:val="en-US" w:eastAsia="zh-CN" w:bidi="ar"/>
        </w:rPr>
        <w:t>“数字东城”）网址为：http://www.bjdch.gov.cn/如需了解更多政府信息，请登录上述网址查询。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C59BE"/>
    <w:rsid w:val="29EC59BE"/>
    <w:rsid w:val="3CA8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城管委</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hanningchao</dc:creator>
  <cp:lastModifiedBy>hanningchao</cp:lastModifiedBy>
  <dcterms:modified xsi:type="dcterms:W3CDTF">2021-11-19T08:06:05Z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