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北京市东城区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退役军人事务局</w:t>
      </w:r>
    </w:p>
    <w:p>
      <w:pPr>
        <w:spacing w:line="578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2019年政府信息公开工作年度报告</w:t>
      </w:r>
    </w:p>
    <w:p>
      <w:pPr>
        <w:spacing w:line="578" w:lineRule="exact"/>
        <w:rPr>
          <w:rFonts w:ascii="仿宋_GB2312" w:eastAsia="仿宋_GB2312"/>
          <w:sz w:val="32"/>
          <w:szCs w:val="32"/>
        </w:rPr>
      </w:pPr>
    </w:p>
    <w:p>
      <w:pPr>
        <w:widowControl/>
        <w:shd w:val="clear" w:color="auto" w:fill="FFFFFF"/>
        <w:spacing w:line="360" w:lineRule="auto"/>
        <w:ind w:firstLine="48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依据《中华人民共和国政府信息公开条例》第五十条之规定，制作本报告。</w:t>
      </w:r>
    </w:p>
    <w:p>
      <w:pPr>
        <w:spacing w:line="360" w:lineRule="auto"/>
        <w:ind w:firstLine="482" w:firstLineChars="200"/>
        <w:rPr>
          <w:rFonts w:hint="eastAsia" w:ascii="宋体" w:hAnsi="宋体" w:cs="黑体"/>
          <w:b/>
          <w:sz w:val="24"/>
        </w:rPr>
      </w:pPr>
      <w:r>
        <w:rPr>
          <w:rFonts w:hint="eastAsia" w:ascii="宋体" w:hAnsi="宋体" w:cs="黑体"/>
          <w:b/>
          <w:sz w:val="24"/>
        </w:rPr>
        <w:t>一、总体情况</w:t>
      </w:r>
    </w:p>
    <w:p>
      <w:pPr>
        <w:widowControl/>
        <w:shd w:val="clear" w:color="auto" w:fill="FFFFFF"/>
        <w:spacing w:line="360" w:lineRule="auto"/>
        <w:ind w:firstLine="48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（一）</w:t>
      </w:r>
      <w:r>
        <w:rPr>
          <w:rFonts w:hint="eastAsia" w:ascii="宋体" w:hAnsi="宋体" w:cs="宋体"/>
          <w:color w:val="000000"/>
          <w:kern w:val="0"/>
          <w:sz w:val="24"/>
        </w:rPr>
        <w:t>主动公开情况</w:t>
      </w:r>
    </w:p>
    <w:p>
      <w:pPr>
        <w:widowControl/>
        <w:shd w:val="clear" w:color="auto" w:fill="FFFFFF"/>
        <w:spacing w:line="360" w:lineRule="auto"/>
        <w:ind w:firstLine="48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1.</w:t>
      </w:r>
      <w:r>
        <w:rPr>
          <w:rFonts w:hint="eastAsia" w:ascii="宋体" w:hAnsi="宋体" w:cs="宋体"/>
          <w:color w:val="000000"/>
          <w:kern w:val="0"/>
          <w:sz w:val="24"/>
        </w:rPr>
        <w:t>机构设置、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机构职能、</w:t>
      </w:r>
      <w:r>
        <w:rPr>
          <w:rFonts w:hint="eastAsia" w:ascii="宋体" w:hAnsi="宋体" w:cs="宋体"/>
          <w:color w:val="000000"/>
          <w:kern w:val="0"/>
          <w:sz w:val="24"/>
        </w:rPr>
        <w:t>办公地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</w:rPr>
        <w:t>址、办公时间、联系方式、负责人姓名</w:t>
      </w:r>
    </w:p>
    <w:p>
      <w:pPr>
        <w:widowControl/>
        <w:shd w:val="clear" w:color="auto" w:fill="FFFFFF"/>
        <w:spacing w:line="360" w:lineRule="auto"/>
        <w:ind w:firstLine="48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为方便公众查询，为公众提供更加方便高效的服务，北京市东城区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退役军人事务局</w:t>
      </w:r>
      <w:r>
        <w:rPr>
          <w:rFonts w:hint="eastAsia" w:ascii="宋体" w:hAnsi="宋体" w:cs="宋体"/>
          <w:color w:val="000000"/>
          <w:kern w:val="0"/>
          <w:sz w:val="24"/>
        </w:rPr>
        <w:t>主要通过数字东城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网站</w:t>
      </w:r>
      <w:r>
        <w:rPr>
          <w:rFonts w:hint="eastAsia" w:ascii="宋体" w:hAnsi="宋体" w:cs="宋体"/>
          <w:color w:val="000000"/>
          <w:kern w:val="0"/>
          <w:sz w:val="24"/>
        </w:rPr>
        <w:t>对机构设置、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机构职能、</w:t>
      </w:r>
      <w:r>
        <w:rPr>
          <w:rFonts w:hint="eastAsia" w:ascii="宋体" w:hAnsi="宋体" w:cs="宋体"/>
          <w:color w:val="000000"/>
          <w:kern w:val="0"/>
          <w:sz w:val="24"/>
        </w:rPr>
        <w:t>办公地址、办公时间、联系方式、负责人姓名等基本信息进行了公开。</w:t>
      </w:r>
    </w:p>
    <w:p>
      <w:pPr>
        <w:widowControl/>
        <w:shd w:val="clear" w:color="auto" w:fill="FFFFFF"/>
        <w:spacing w:line="360" w:lineRule="auto"/>
        <w:ind w:firstLine="48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2.</w:t>
      </w:r>
      <w:r>
        <w:rPr>
          <w:rFonts w:hint="eastAsia" w:ascii="宋体" w:hAnsi="宋体" w:cs="宋体"/>
          <w:color w:val="000000"/>
          <w:kern w:val="0"/>
          <w:sz w:val="24"/>
        </w:rPr>
        <w:t>财政预算、决算信息</w:t>
      </w:r>
    </w:p>
    <w:p>
      <w:pPr>
        <w:widowControl/>
        <w:shd w:val="clear" w:color="auto" w:fill="FFFFFF"/>
        <w:spacing w:line="360" w:lineRule="auto"/>
        <w:ind w:firstLine="48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北京市东城区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退役军人事务局</w:t>
      </w:r>
      <w:r>
        <w:rPr>
          <w:rFonts w:hint="eastAsia" w:ascii="宋体" w:hAnsi="宋体" w:cs="宋体"/>
          <w:color w:val="000000"/>
          <w:kern w:val="0"/>
          <w:sz w:val="24"/>
        </w:rPr>
        <w:t>通过数字东城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网站</w:t>
      </w:r>
      <w:r>
        <w:rPr>
          <w:rFonts w:hint="eastAsia" w:ascii="宋体" w:hAnsi="宋体" w:cs="宋体"/>
          <w:color w:val="000000"/>
          <w:kern w:val="0"/>
          <w:sz w:val="24"/>
        </w:rPr>
        <w:t>按时公开了财政预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决</w:t>
      </w:r>
      <w:r>
        <w:rPr>
          <w:rFonts w:hint="eastAsia" w:ascii="宋体" w:hAnsi="宋体" w:cs="宋体"/>
          <w:color w:val="000000"/>
          <w:kern w:val="0"/>
          <w:sz w:val="24"/>
        </w:rPr>
        <w:t>算情况。</w:t>
      </w:r>
    </w:p>
    <w:p>
      <w:pPr>
        <w:widowControl/>
        <w:shd w:val="clear" w:color="auto" w:fill="FFFFFF"/>
        <w:spacing w:line="360" w:lineRule="auto"/>
        <w:ind w:firstLine="48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3.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其他主动公开</w:t>
      </w:r>
      <w:r>
        <w:rPr>
          <w:rFonts w:hint="eastAsia" w:ascii="宋体" w:hAnsi="宋体" w:cs="宋体"/>
          <w:color w:val="000000"/>
          <w:kern w:val="0"/>
          <w:sz w:val="24"/>
        </w:rPr>
        <w:t>情况</w:t>
      </w:r>
    </w:p>
    <w:p>
      <w:pPr>
        <w:widowControl/>
        <w:shd w:val="clear" w:color="auto" w:fill="FFFFFF"/>
        <w:spacing w:line="360" w:lineRule="auto"/>
        <w:ind w:firstLine="48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北京市东城区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退役军人事务局</w:t>
      </w:r>
      <w:r>
        <w:rPr>
          <w:rFonts w:hint="eastAsia" w:ascii="宋体" w:hAnsi="宋体" w:cs="宋体"/>
          <w:color w:val="000000"/>
          <w:kern w:val="0"/>
          <w:sz w:val="24"/>
        </w:rPr>
        <w:t>自2019年成立以来，通过数字东城网站、新闻报道等渠道，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发布了</w:t>
      </w:r>
      <w:r>
        <w:rPr>
          <w:rFonts w:hint="eastAsia" w:ascii="宋体" w:hAnsi="宋体" w:cs="宋体"/>
          <w:color w:val="000000"/>
          <w:kern w:val="0"/>
          <w:sz w:val="24"/>
        </w:rPr>
        <w:t>日常工作动态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等各类</w:t>
      </w:r>
      <w:r>
        <w:rPr>
          <w:rFonts w:hint="eastAsia" w:ascii="宋体" w:hAnsi="宋体" w:cs="宋体"/>
          <w:color w:val="000000"/>
          <w:kern w:val="0"/>
          <w:sz w:val="24"/>
        </w:rPr>
        <w:t>事项。2019年3月22日成立以来，网站公开政务工作信息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79</w:t>
      </w:r>
      <w:r>
        <w:rPr>
          <w:rFonts w:hint="eastAsia" w:ascii="宋体" w:hAnsi="宋体" w:cs="宋体"/>
          <w:color w:val="000000"/>
          <w:kern w:val="0"/>
          <w:sz w:val="24"/>
        </w:rPr>
        <w:t>条次、全年共发布新闻报道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86</w:t>
      </w:r>
      <w:r>
        <w:rPr>
          <w:rFonts w:hint="eastAsia" w:ascii="宋体" w:hAnsi="宋体" w:cs="宋体"/>
          <w:color w:val="000000"/>
          <w:kern w:val="0"/>
          <w:sz w:val="24"/>
        </w:rPr>
        <w:t>篇次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，其中创建“双拥模范城”工作宣传专版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2版</w:t>
      </w:r>
      <w:r>
        <w:rPr>
          <w:rFonts w:hint="eastAsia" w:ascii="宋体" w:hAnsi="宋体" w:cs="宋体"/>
          <w:color w:val="000000"/>
          <w:kern w:val="0"/>
          <w:sz w:val="24"/>
        </w:rPr>
        <w:t>。</w:t>
      </w:r>
    </w:p>
    <w:p>
      <w:pPr>
        <w:widowControl/>
        <w:shd w:val="clear" w:color="auto" w:fill="FFFFFF"/>
        <w:spacing w:line="360" w:lineRule="auto"/>
        <w:ind w:firstLine="48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（二）</w:t>
      </w:r>
      <w:r>
        <w:rPr>
          <w:rFonts w:hint="eastAsia" w:ascii="宋体" w:hAnsi="宋体" w:cs="宋体"/>
          <w:color w:val="000000"/>
          <w:kern w:val="0"/>
          <w:sz w:val="24"/>
        </w:rPr>
        <w:t>依申请公开办理情况</w:t>
      </w:r>
    </w:p>
    <w:p>
      <w:pPr>
        <w:widowControl/>
        <w:shd w:val="clear" w:color="auto" w:fill="FFFFFF"/>
        <w:spacing w:line="360" w:lineRule="auto"/>
        <w:ind w:firstLine="48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2019年我局新收政府信息公开申请数量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0</w:t>
      </w:r>
      <w:r>
        <w:rPr>
          <w:rFonts w:hint="eastAsia" w:ascii="宋体" w:hAnsi="宋体" w:cs="宋体"/>
          <w:color w:val="000000"/>
          <w:kern w:val="0"/>
          <w:sz w:val="24"/>
        </w:rPr>
        <w:t>件，上年结转政府信息公开申请数量0件。</w:t>
      </w:r>
    </w:p>
    <w:p>
      <w:pPr>
        <w:widowControl/>
        <w:shd w:val="clear" w:color="auto" w:fill="FFFFFF"/>
        <w:spacing w:line="360" w:lineRule="auto"/>
        <w:ind w:firstLine="48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（三）</w:t>
      </w:r>
      <w:r>
        <w:rPr>
          <w:rFonts w:hint="eastAsia" w:ascii="宋体" w:hAnsi="宋体" w:cs="宋体"/>
          <w:color w:val="000000"/>
          <w:kern w:val="0"/>
          <w:sz w:val="24"/>
        </w:rPr>
        <w:t>政府信息资源的规范化、标准化管理情况</w:t>
      </w:r>
    </w:p>
    <w:p>
      <w:pPr>
        <w:widowControl/>
        <w:shd w:val="clear" w:color="auto" w:fill="FFFFFF"/>
        <w:spacing w:line="360" w:lineRule="auto"/>
        <w:ind w:firstLine="48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我局政府信息公开工作由局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主要领导</w:t>
      </w:r>
      <w:r>
        <w:rPr>
          <w:rFonts w:hint="eastAsia" w:ascii="宋体" w:hAnsi="宋体" w:cs="宋体"/>
          <w:color w:val="000000"/>
          <w:kern w:val="0"/>
          <w:sz w:val="24"/>
        </w:rPr>
        <w:t>负责业务指导，局办公室负责具体承办。政府信息的属性属于主动公开的按不同信息的公开时限要求，通过数字东城网站或其他上级部门规定的途径进行主动公开，其他信息经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承办部门、保密部门、保密主管</w:t>
      </w:r>
      <w:r>
        <w:rPr>
          <w:rFonts w:hint="eastAsia" w:ascii="宋体" w:hAnsi="宋体" w:cs="宋体"/>
          <w:color w:val="000000"/>
          <w:kern w:val="0"/>
          <w:sz w:val="24"/>
        </w:rPr>
        <w:t>领导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、主要领导</w:t>
      </w:r>
      <w:r>
        <w:rPr>
          <w:rFonts w:hint="eastAsia" w:ascii="宋体" w:hAnsi="宋体" w:cs="宋体"/>
          <w:color w:val="000000"/>
          <w:kern w:val="0"/>
          <w:sz w:val="24"/>
        </w:rPr>
        <w:t>审定公开属性，并由局办公室具体执行。政府信息的发布主要由局办公室负责，确保发布信息的准确性和一致性，方便社会公众查询或申请。</w:t>
      </w:r>
    </w:p>
    <w:p>
      <w:pPr>
        <w:widowControl/>
        <w:shd w:val="clear" w:color="auto" w:fill="FFFFFF"/>
        <w:spacing w:line="360" w:lineRule="auto"/>
        <w:ind w:firstLine="480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spacing w:line="360" w:lineRule="auto"/>
        <w:ind w:firstLine="482" w:firstLineChars="200"/>
        <w:rPr>
          <w:rFonts w:hint="eastAsia" w:ascii="宋体" w:hAnsi="宋体" w:cs="黑体"/>
          <w:b/>
          <w:sz w:val="24"/>
        </w:rPr>
      </w:pPr>
      <w:r>
        <w:rPr>
          <w:rFonts w:hint="eastAsia" w:ascii="宋体" w:hAnsi="宋体" w:cs="黑体"/>
          <w:b/>
          <w:sz w:val="24"/>
        </w:rPr>
        <w:t>二、主动公开政府信息情况</w:t>
      </w:r>
    </w:p>
    <w:tbl>
      <w:tblPr>
        <w:tblStyle w:val="16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8"/>
        <w:gridCol w:w="1041"/>
        <w:gridCol w:w="1658"/>
        <w:gridCol w:w="1887"/>
        <w:gridCol w:w="16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D9F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本年新制作数量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本年新公开数量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规范性文件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D9F1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1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  <w:tc>
          <w:tcPr>
            <w:tcW w:w="1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27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其他对外管理服务事项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行政检查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2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行政确认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D9F1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000000" w:fill="C6D9F1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658" w:type="dxa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3545" w:type="dxa"/>
            <w:gridSpan w:val="2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1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D9F1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采购项目数量</w:t>
            </w:r>
          </w:p>
        </w:tc>
        <w:tc>
          <w:tcPr>
            <w:tcW w:w="3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采购总金额（万元，保留四位小数）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政府集中采购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194.4975</w:t>
            </w:r>
          </w:p>
        </w:tc>
      </w:tr>
    </w:tbl>
    <w:p>
      <w:pPr>
        <w:spacing w:line="360" w:lineRule="auto"/>
        <w:ind w:firstLine="482" w:firstLineChars="200"/>
        <w:rPr>
          <w:rFonts w:hint="eastAsia" w:ascii="宋体" w:hAnsi="宋体" w:cs="黑体"/>
          <w:b/>
          <w:sz w:val="24"/>
        </w:rPr>
      </w:pPr>
    </w:p>
    <w:p>
      <w:pPr>
        <w:spacing w:line="360" w:lineRule="auto"/>
        <w:ind w:firstLine="482" w:firstLineChars="200"/>
        <w:rPr>
          <w:rFonts w:hint="eastAsia" w:ascii="宋体" w:hAnsi="宋体" w:cs="黑体"/>
          <w:b/>
          <w:sz w:val="24"/>
        </w:rPr>
      </w:pPr>
      <w:r>
        <w:rPr>
          <w:rFonts w:hint="eastAsia" w:ascii="宋体" w:hAnsi="宋体" w:cs="黑体"/>
          <w:b/>
          <w:sz w:val="24"/>
        </w:rPr>
        <w:t>三、收到和处理政府信息公开申请情况</w:t>
      </w:r>
    </w:p>
    <w:tbl>
      <w:tblPr>
        <w:tblStyle w:val="16"/>
        <w:tblW w:w="9071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8"/>
        <w:gridCol w:w="854"/>
        <w:gridCol w:w="2086"/>
        <w:gridCol w:w="814"/>
        <w:gridCol w:w="755"/>
        <w:gridCol w:w="755"/>
        <w:gridCol w:w="814"/>
        <w:gridCol w:w="974"/>
        <w:gridCol w:w="712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551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401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0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0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0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0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0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0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spacing w:line="360" w:lineRule="auto"/>
        <w:ind w:firstLine="482" w:firstLineChars="200"/>
        <w:rPr>
          <w:rFonts w:hint="eastAsia" w:ascii="宋体" w:hAnsi="宋体" w:cs="黑体"/>
          <w:b/>
          <w:sz w:val="24"/>
        </w:rPr>
      </w:pPr>
    </w:p>
    <w:p>
      <w:pPr>
        <w:spacing w:line="360" w:lineRule="auto"/>
        <w:ind w:firstLine="482" w:firstLineChars="200"/>
        <w:rPr>
          <w:rFonts w:hint="eastAsia" w:ascii="宋体" w:hAnsi="宋体" w:cs="黑体"/>
          <w:b/>
          <w:sz w:val="24"/>
          <w:lang w:eastAsia="zh-CN"/>
        </w:rPr>
      </w:pPr>
      <w:r>
        <w:rPr>
          <w:rFonts w:hint="eastAsia" w:ascii="宋体" w:hAnsi="宋体" w:cs="黑体"/>
          <w:b/>
          <w:sz w:val="24"/>
        </w:rPr>
        <w:t>四</w:t>
      </w:r>
      <w:r>
        <w:rPr>
          <w:rFonts w:hint="eastAsia" w:ascii="宋体" w:hAnsi="宋体" w:cs="黑体"/>
          <w:b/>
          <w:sz w:val="24"/>
          <w:lang w:eastAsia="zh-CN"/>
        </w:rPr>
        <w:t>、政府信息公开行政复议、行政诉讼情况</w:t>
      </w:r>
    </w:p>
    <w:tbl>
      <w:tblPr>
        <w:tblStyle w:val="16"/>
        <w:tblW w:w="9071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 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spacing w:line="578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360" w:lineRule="auto"/>
        <w:ind w:firstLine="482" w:firstLineChars="200"/>
        <w:rPr>
          <w:rFonts w:hint="eastAsia" w:ascii="宋体" w:hAnsi="宋体" w:cs="黑体"/>
          <w:b/>
          <w:sz w:val="24"/>
        </w:rPr>
      </w:pPr>
      <w:r>
        <w:rPr>
          <w:rFonts w:hint="eastAsia" w:ascii="宋体" w:hAnsi="宋体" w:cs="黑体"/>
          <w:b/>
          <w:sz w:val="24"/>
        </w:rPr>
        <w:t>五、存在的主要问题及改进情况</w:t>
      </w:r>
    </w:p>
    <w:p>
      <w:pPr>
        <w:widowControl/>
        <w:shd w:val="clear" w:color="auto" w:fill="FFFFFF"/>
        <w:spacing w:line="360" w:lineRule="auto"/>
        <w:ind w:firstLine="480"/>
        <w:rPr>
          <w:rFonts w:hint="eastAsia" w:ascii="宋体" w:hAnsi="宋体" w:cs="宋体"/>
          <w:color w:val="000000"/>
          <w:kern w:val="0"/>
          <w:sz w:val="24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一是思想意识方面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。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主要问题是</w:t>
      </w:r>
      <w:r>
        <w:rPr>
          <w:rFonts w:hint="eastAsia" w:ascii="宋体" w:hAnsi="宋体" w:cs="宋体"/>
          <w:color w:val="000000"/>
          <w:kern w:val="0"/>
          <w:sz w:val="24"/>
        </w:rPr>
        <w:t>少数科室的公开意识、推进公开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4"/>
        </w:rPr>
        <w:t>的自觉性有待进一步提高；科室人员主动报送挖掘信息的意识还需加强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。改进措施是</w:t>
      </w:r>
      <w:r>
        <w:rPr>
          <w:rFonts w:hint="eastAsia" w:ascii="宋体" w:hAnsi="宋体" w:cs="宋体"/>
          <w:color w:val="000000"/>
          <w:kern w:val="0"/>
          <w:sz w:val="24"/>
        </w:rPr>
        <w:t>牢固树立以公开促工作的理念。充分认识做好政府信息公开工作的重大意义，切实转变思想观念，增强信息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公开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工作的主动性和自觉性。 </w:t>
      </w:r>
    </w:p>
    <w:p>
      <w:pPr>
        <w:widowControl/>
        <w:shd w:val="clear" w:color="auto" w:fill="FFFFFF"/>
        <w:spacing w:line="360" w:lineRule="auto"/>
        <w:ind w:firstLine="48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二是</w:t>
      </w:r>
      <w:r>
        <w:rPr>
          <w:rFonts w:hint="eastAsia" w:ascii="宋体" w:hAnsi="宋体" w:cs="宋体"/>
          <w:color w:val="000000"/>
          <w:kern w:val="0"/>
          <w:sz w:val="24"/>
        </w:rPr>
        <w:t>人员能力方面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。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主要问题是</w:t>
      </w:r>
      <w:r>
        <w:rPr>
          <w:rFonts w:hint="eastAsia" w:ascii="宋体" w:hAnsi="宋体" w:cs="宋体"/>
          <w:color w:val="000000"/>
          <w:kern w:val="0"/>
          <w:sz w:val="24"/>
        </w:rPr>
        <w:t>公开形式需要进一步优化，用群众语言解读政策、增加与公众互动交流的能力需进一步加强；业务人员工作能力需要提高。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改进措施是</w:t>
      </w:r>
      <w:r>
        <w:rPr>
          <w:rFonts w:hint="eastAsia" w:ascii="宋体" w:hAnsi="宋体" w:cs="宋体"/>
          <w:color w:val="000000"/>
          <w:kern w:val="0"/>
          <w:sz w:val="24"/>
        </w:rPr>
        <w:t>不断丰富信息公开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内容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，进一步加大政策解读服务，对重要事项和决策努力探索征求公众意见，加大对政府重点工作、重要决策部署的解读力度，及时关注舆情，回应社会关切。  </w:t>
      </w:r>
    </w:p>
    <w:p>
      <w:pPr>
        <w:widowControl/>
        <w:shd w:val="clear" w:color="auto" w:fill="FFFFFF"/>
        <w:spacing w:line="360" w:lineRule="auto"/>
        <w:ind w:firstLine="48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三是</w:t>
      </w:r>
      <w:r>
        <w:rPr>
          <w:rFonts w:hint="eastAsia" w:ascii="宋体" w:hAnsi="宋体" w:cs="宋体"/>
          <w:color w:val="000000"/>
          <w:kern w:val="0"/>
          <w:sz w:val="24"/>
        </w:rPr>
        <w:t>工作流程方面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。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主要问题是</w:t>
      </w:r>
      <w:r>
        <w:rPr>
          <w:rFonts w:hint="eastAsia" w:ascii="宋体" w:hAnsi="宋体" w:cs="宋体"/>
          <w:color w:val="000000"/>
          <w:kern w:val="0"/>
          <w:sz w:val="24"/>
        </w:rPr>
        <w:t>信息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公开</w:t>
      </w:r>
      <w:r>
        <w:rPr>
          <w:rFonts w:hint="eastAsia" w:ascii="宋体" w:hAnsi="宋体" w:cs="宋体"/>
          <w:color w:val="000000"/>
          <w:kern w:val="0"/>
          <w:sz w:val="24"/>
        </w:rPr>
        <w:t>工作流程有待规范,协调机制建设需要加强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，制度落实不到位</w:t>
      </w:r>
      <w:r>
        <w:rPr>
          <w:rFonts w:hint="eastAsia" w:ascii="宋体" w:hAnsi="宋体" w:cs="宋体"/>
          <w:color w:val="000000"/>
          <w:kern w:val="0"/>
          <w:sz w:val="24"/>
        </w:rPr>
        <w:t>。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改进措施是严格规范信息公开制度，加强制度落实，实行量化考核。</w:t>
      </w:r>
    </w:p>
    <w:p>
      <w:pPr>
        <w:spacing w:line="360" w:lineRule="auto"/>
        <w:ind w:firstLine="482" w:firstLineChars="200"/>
        <w:rPr>
          <w:rFonts w:hint="eastAsia" w:ascii="宋体" w:hAnsi="宋体" w:cs="黑体"/>
          <w:b/>
          <w:sz w:val="24"/>
          <w:lang w:eastAsia="zh-CN"/>
        </w:rPr>
      </w:pPr>
      <w:r>
        <w:rPr>
          <w:rFonts w:hint="eastAsia" w:ascii="宋体" w:hAnsi="宋体" w:cs="黑体"/>
          <w:b/>
          <w:sz w:val="24"/>
          <w:lang w:eastAsia="zh-CN"/>
        </w:rPr>
        <w:t>六、其他需要报告的事项</w:t>
      </w:r>
    </w:p>
    <w:p>
      <w:pPr>
        <w:widowControl/>
        <w:shd w:val="clear" w:color="auto" w:fill="FFFFFF"/>
        <w:spacing w:line="360" w:lineRule="auto"/>
        <w:ind w:firstLine="480"/>
        <w:rPr>
          <w:rFonts w:hint="eastAsia" w:ascii="宋体" w:hAnsi="宋体" w:cs="宋体"/>
          <w:color w:val="000000"/>
          <w:kern w:val="0"/>
          <w:sz w:val="24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</w:rPr>
        <w:t>北京市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东城区</w:t>
      </w:r>
      <w:r>
        <w:rPr>
          <w:rFonts w:hint="eastAsia" w:ascii="宋体" w:hAnsi="宋体" w:cs="宋体"/>
          <w:color w:val="000000"/>
          <w:kern w:val="0"/>
          <w:sz w:val="24"/>
        </w:rPr>
        <w:t>人民政府门户网站（“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数字东城</w:t>
      </w:r>
      <w:r>
        <w:rPr>
          <w:rFonts w:hint="eastAsia" w:ascii="宋体" w:hAnsi="宋体" w:cs="宋体"/>
          <w:color w:val="000000"/>
          <w:kern w:val="0"/>
          <w:sz w:val="24"/>
        </w:rPr>
        <w:t>”）网址为http://www.bjdch.gov.cn/，如需了解更多政府信息，请登录查询。</w:t>
      </w:r>
    </w:p>
    <w:p>
      <w:pPr>
        <w:widowControl/>
        <w:shd w:val="clear" w:color="auto" w:fill="FFFFFF"/>
        <w:spacing w:line="360" w:lineRule="auto"/>
        <w:ind w:firstLine="480"/>
        <w:rPr>
          <w:rFonts w:hint="eastAsia" w:ascii="宋体" w:hAnsi="宋体" w:cs="宋体"/>
          <w:color w:val="000000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D79"/>
    <w:rsid w:val="0019743C"/>
    <w:rsid w:val="001A5533"/>
    <w:rsid w:val="001A61DD"/>
    <w:rsid w:val="001B32F7"/>
    <w:rsid w:val="00206AAD"/>
    <w:rsid w:val="00237E02"/>
    <w:rsid w:val="00294D71"/>
    <w:rsid w:val="002C6AF5"/>
    <w:rsid w:val="002F2C6A"/>
    <w:rsid w:val="00355857"/>
    <w:rsid w:val="00386682"/>
    <w:rsid w:val="003B75F0"/>
    <w:rsid w:val="00406ADF"/>
    <w:rsid w:val="00411D76"/>
    <w:rsid w:val="00475DF6"/>
    <w:rsid w:val="004B15A2"/>
    <w:rsid w:val="004F4478"/>
    <w:rsid w:val="0058078E"/>
    <w:rsid w:val="005971BA"/>
    <w:rsid w:val="005B565E"/>
    <w:rsid w:val="005E7F83"/>
    <w:rsid w:val="005F723F"/>
    <w:rsid w:val="00605778"/>
    <w:rsid w:val="007B7C12"/>
    <w:rsid w:val="008013C9"/>
    <w:rsid w:val="00834C96"/>
    <w:rsid w:val="0084710E"/>
    <w:rsid w:val="0086725D"/>
    <w:rsid w:val="008E60F0"/>
    <w:rsid w:val="008F75AE"/>
    <w:rsid w:val="009B1C93"/>
    <w:rsid w:val="00A64887"/>
    <w:rsid w:val="00AD48D0"/>
    <w:rsid w:val="00AF66FC"/>
    <w:rsid w:val="00C31C93"/>
    <w:rsid w:val="00CB65E3"/>
    <w:rsid w:val="00D33933"/>
    <w:rsid w:val="00DB1840"/>
    <w:rsid w:val="00E51D79"/>
    <w:rsid w:val="00E65168"/>
    <w:rsid w:val="00E76318"/>
    <w:rsid w:val="00EE5DA2"/>
    <w:rsid w:val="00EE7A58"/>
    <w:rsid w:val="00F47C85"/>
    <w:rsid w:val="00F96AC7"/>
    <w:rsid w:val="00FB721E"/>
    <w:rsid w:val="00FD1248"/>
    <w:rsid w:val="00FE332C"/>
    <w:rsid w:val="01987819"/>
    <w:rsid w:val="040751DC"/>
    <w:rsid w:val="061419F5"/>
    <w:rsid w:val="06AD3820"/>
    <w:rsid w:val="07003762"/>
    <w:rsid w:val="0AE37EC6"/>
    <w:rsid w:val="0C155B9D"/>
    <w:rsid w:val="0EE73B2A"/>
    <w:rsid w:val="0FDE210B"/>
    <w:rsid w:val="10B413DB"/>
    <w:rsid w:val="13786FEC"/>
    <w:rsid w:val="141B26D2"/>
    <w:rsid w:val="14255DFA"/>
    <w:rsid w:val="14B01C61"/>
    <w:rsid w:val="14EA3FEE"/>
    <w:rsid w:val="151A0FE1"/>
    <w:rsid w:val="15604404"/>
    <w:rsid w:val="156D3EDA"/>
    <w:rsid w:val="158B5858"/>
    <w:rsid w:val="164E0966"/>
    <w:rsid w:val="18EB4827"/>
    <w:rsid w:val="194C77EF"/>
    <w:rsid w:val="1B1936D9"/>
    <w:rsid w:val="1B5D45BA"/>
    <w:rsid w:val="1BD73FE5"/>
    <w:rsid w:val="1D8F1AFC"/>
    <w:rsid w:val="1E1E3A8D"/>
    <w:rsid w:val="211F3BAF"/>
    <w:rsid w:val="21517D96"/>
    <w:rsid w:val="225A74A5"/>
    <w:rsid w:val="23657B0B"/>
    <w:rsid w:val="243C3843"/>
    <w:rsid w:val="25E22551"/>
    <w:rsid w:val="27037071"/>
    <w:rsid w:val="27A47E31"/>
    <w:rsid w:val="289A7BEE"/>
    <w:rsid w:val="29452F89"/>
    <w:rsid w:val="29AF0AAF"/>
    <w:rsid w:val="2A3D48CC"/>
    <w:rsid w:val="2AD70145"/>
    <w:rsid w:val="2B307B21"/>
    <w:rsid w:val="33664C55"/>
    <w:rsid w:val="3497405E"/>
    <w:rsid w:val="356B5575"/>
    <w:rsid w:val="3ACD4272"/>
    <w:rsid w:val="3BDC40D2"/>
    <w:rsid w:val="3E946AC2"/>
    <w:rsid w:val="40057D6C"/>
    <w:rsid w:val="40455B87"/>
    <w:rsid w:val="425250AC"/>
    <w:rsid w:val="42640F4B"/>
    <w:rsid w:val="44FF7568"/>
    <w:rsid w:val="473948CD"/>
    <w:rsid w:val="491222F5"/>
    <w:rsid w:val="4ABE38AF"/>
    <w:rsid w:val="4BAD354C"/>
    <w:rsid w:val="4C8211E5"/>
    <w:rsid w:val="4CD44300"/>
    <w:rsid w:val="4E9E2CA3"/>
    <w:rsid w:val="4EA317E0"/>
    <w:rsid w:val="506C3F0E"/>
    <w:rsid w:val="509151E4"/>
    <w:rsid w:val="53363FB7"/>
    <w:rsid w:val="54635916"/>
    <w:rsid w:val="56C60D0F"/>
    <w:rsid w:val="584E273E"/>
    <w:rsid w:val="58D64517"/>
    <w:rsid w:val="5BB248D9"/>
    <w:rsid w:val="5DE37073"/>
    <w:rsid w:val="63B569DC"/>
    <w:rsid w:val="65063BF5"/>
    <w:rsid w:val="66967860"/>
    <w:rsid w:val="69411C9D"/>
    <w:rsid w:val="6C795E05"/>
    <w:rsid w:val="6C8B0917"/>
    <w:rsid w:val="6E003964"/>
    <w:rsid w:val="70F0017C"/>
    <w:rsid w:val="72744F74"/>
    <w:rsid w:val="746D544C"/>
    <w:rsid w:val="74A85F67"/>
    <w:rsid w:val="75A14BB3"/>
    <w:rsid w:val="78947F1C"/>
    <w:rsid w:val="792969CE"/>
    <w:rsid w:val="7AC071DF"/>
    <w:rsid w:val="7B0F5927"/>
    <w:rsid w:val="7DE02FD6"/>
    <w:rsid w:val="7FF668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qFormat="1" w:uiPriority="0" w:semiHidden="0" w:name="HTML Cite"/>
    <w:lsdException w:qFormat="1" w:uiPriority="0" w:semiHidden="0" w:name="HTML Code"/>
    <w:lsdException w:qFormat="1" w:uiPriority="0" w:semiHidden="0" w:name="HTML Definition"/>
    <w:lsdException w:uiPriority="0" w:semiHidden="0" w:name="HTML Keyboard"/>
    <w:lsdException w:uiPriority="0" w:name="HTML Preformatted"/>
    <w:lsdException w:qFormat="1" w:uiPriority="0" w:semiHidden="0" w:name="HTML Sample"/>
    <w:lsdException w:uiPriority="0" w:name="HTML Typewriter"/>
    <w:lsdException w:qFormat="1" w:uiPriority="0" w:semiHidden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FollowedHyperlink"/>
    <w:basedOn w:val="5"/>
    <w:unhideWhenUsed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20"/>
    <w:rPr>
      <w:b/>
    </w:rPr>
  </w:style>
  <w:style w:type="character" w:styleId="9">
    <w:name w:val="HTML Definition"/>
    <w:basedOn w:val="5"/>
    <w:unhideWhenUsed/>
    <w:qFormat/>
    <w:uiPriority w:val="0"/>
  </w:style>
  <w:style w:type="character" w:styleId="10">
    <w:name w:val="HTML Variable"/>
    <w:basedOn w:val="5"/>
    <w:unhideWhenUsed/>
    <w:qFormat/>
    <w:uiPriority w:val="0"/>
  </w:style>
  <w:style w:type="character" w:styleId="11">
    <w:name w:val="Hyperlink"/>
    <w:basedOn w:val="5"/>
    <w:unhideWhenUsed/>
    <w:qFormat/>
    <w:uiPriority w:val="0"/>
    <w:rPr>
      <w:color w:val="0000FF"/>
      <w:u w:val="none"/>
    </w:rPr>
  </w:style>
  <w:style w:type="character" w:styleId="12">
    <w:name w:val="HTML Code"/>
    <w:basedOn w:val="5"/>
    <w:unhideWhenUsed/>
    <w:qFormat/>
    <w:uiPriority w:val="0"/>
    <w:rPr>
      <w:rFonts w:ascii="Courier New" w:hAnsi="Courier New"/>
      <w:sz w:val="20"/>
    </w:rPr>
  </w:style>
  <w:style w:type="character" w:styleId="13">
    <w:name w:val="HTML Cite"/>
    <w:basedOn w:val="5"/>
    <w:unhideWhenUsed/>
    <w:qFormat/>
    <w:uiPriority w:val="0"/>
  </w:style>
  <w:style w:type="character" w:styleId="14">
    <w:name w:val="HTML Keyboard"/>
    <w:basedOn w:val="5"/>
    <w:unhideWhenUsed/>
    <w:uiPriority w:val="0"/>
    <w:rPr>
      <w:rFonts w:ascii="Courier New" w:hAnsi="Courier New"/>
      <w:sz w:val="20"/>
    </w:rPr>
  </w:style>
  <w:style w:type="character" w:styleId="15">
    <w:name w:val="HTML Sample"/>
    <w:basedOn w:val="5"/>
    <w:unhideWhenUsed/>
    <w:qFormat/>
    <w:uiPriority w:val="0"/>
    <w:rPr>
      <w:rFonts w:ascii="Courier New" w:hAnsi="Courier New"/>
    </w:rPr>
  </w:style>
  <w:style w:type="character" w:customStyle="1" w:styleId="1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8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9">
    <w:name w:val="first-child"/>
    <w:basedOn w:val="5"/>
    <w:qFormat/>
    <w:uiPriority w:val="0"/>
  </w:style>
  <w:style w:type="character" w:customStyle="1" w:styleId="20">
    <w:name w:val="layui-layer-tabnow"/>
    <w:basedOn w:val="5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254</Words>
  <Characters>1449</Characters>
  <Lines>12</Lines>
  <Paragraphs>3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2019-12-20T09:04:00Z</dcterms:created>
  <dc:creator>1</dc:creator>
  <cp:lastModifiedBy>赵迪</cp:lastModifiedBy>
  <cp:lastPrinted>2020-01-17T02:31:00Z</cp:lastPrinted>
  <dcterms:modified xsi:type="dcterms:W3CDTF">2020-01-17T07:31:14Z</dcterms:modified>
  <dc:title>北京市东城区市场监督管理局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