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E6236">
      <w:pPr>
        <w:suppressAutoHyphens/>
        <w:adjustRightInd w:val="0"/>
        <w:spacing w:line="560" w:lineRule="exact"/>
        <w:jc w:val="center"/>
        <w:rPr>
          <w:rFonts w:ascii="Times New Roman" w:hAnsi="Times New Roman" w:eastAsia="华文中宋"/>
          <w:kern w:val="0"/>
          <w:sz w:val="36"/>
          <w:szCs w:val="36"/>
        </w:rPr>
      </w:pPr>
    </w:p>
    <w:p w14:paraId="53A6B6FD">
      <w:pPr>
        <w:suppressAutoHyphens/>
        <w:adjustRightInd w:val="0"/>
        <w:spacing w:line="560" w:lineRule="exact"/>
        <w:jc w:val="center"/>
        <w:rPr>
          <w:rFonts w:ascii="Times New Roman" w:hAnsi="Times New Roman" w:eastAsia="华文中宋"/>
          <w:kern w:val="0"/>
          <w:sz w:val="36"/>
          <w:szCs w:val="36"/>
        </w:rPr>
      </w:pPr>
    </w:p>
    <w:p w14:paraId="36645D12">
      <w:pPr>
        <w:suppressAutoHyphens/>
        <w:adjustRightInd w:val="0"/>
        <w:spacing w:line="560" w:lineRule="exact"/>
        <w:jc w:val="center"/>
        <w:rPr>
          <w:rFonts w:ascii="Times New Roman" w:hAnsi="Times New Roman" w:eastAsia="华文中宋"/>
          <w:kern w:val="0"/>
          <w:sz w:val="36"/>
          <w:szCs w:val="36"/>
        </w:rPr>
      </w:pPr>
    </w:p>
    <w:p w14:paraId="67334266">
      <w:pPr>
        <w:suppressAutoHyphens/>
        <w:adjustRightInd w:val="0"/>
        <w:spacing w:line="560" w:lineRule="exact"/>
        <w:rPr>
          <w:rFonts w:ascii="Times New Roman" w:hAnsi="Times New Roman" w:eastAsia="华文中宋"/>
          <w:kern w:val="0"/>
          <w:sz w:val="36"/>
          <w:szCs w:val="36"/>
        </w:rPr>
      </w:pPr>
    </w:p>
    <w:p w14:paraId="5CC401C6">
      <w:pPr>
        <w:suppressAutoHyphens/>
        <w:adjustRightInd w:val="0"/>
        <w:spacing w:line="560" w:lineRule="exact"/>
        <w:rPr>
          <w:rFonts w:ascii="Times New Roman" w:hAnsi="Times New Roman" w:eastAsia="华文中宋"/>
          <w:kern w:val="0"/>
          <w:sz w:val="36"/>
          <w:szCs w:val="36"/>
        </w:rPr>
      </w:pPr>
    </w:p>
    <w:p w14:paraId="24A72D97">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北京市东城区司法局</w:t>
      </w:r>
    </w:p>
    <w:p w14:paraId="36025318">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2018年政府信息公开工作年度报告</w:t>
      </w:r>
    </w:p>
    <w:p w14:paraId="652F292B">
      <w:pPr>
        <w:suppressAutoHyphens/>
        <w:adjustRightInd w:val="0"/>
        <w:spacing w:line="560" w:lineRule="exact"/>
        <w:jc w:val="center"/>
        <w:rPr>
          <w:rFonts w:ascii="Times New Roman" w:hAnsi="Times New Roman" w:eastAsia="楷体_GB2312"/>
          <w:b/>
          <w:kern w:val="0"/>
          <w:sz w:val="44"/>
          <w:szCs w:val="44"/>
        </w:rPr>
      </w:pPr>
    </w:p>
    <w:p w14:paraId="5AFAFB4D">
      <w:pPr>
        <w:suppressAutoHyphens/>
        <w:adjustRightInd w:val="0"/>
        <w:spacing w:line="560" w:lineRule="exact"/>
        <w:jc w:val="center"/>
        <w:rPr>
          <w:rFonts w:ascii="Times New Roman" w:hAnsi="Times New Roman" w:eastAsia="华文中宋"/>
          <w:b/>
          <w:kern w:val="0"/>
          <w:sz w:val="44"/>
          <w:szCs w:val="44"/>
        </w:rPr>
      </w:pPr>
    </w:p>
    <w:p w14:paraId="1733B18A">
      <w:pPr>
        <w:suppressAutoHyphens/>
        <w:adjustRightInd w:val="0"/>
        <w:spacing w:line="560" w:lineRule="exact"/>
        <w:jc w:val="center"/>
        <w:rPr>
          <w:rFonts w:ascii="Times New Roman" w:hAnsi="Times New Roman" w:eastAsia="华文中宋"/>
          <w:b/>
          <w:kern w:val="0"/>
          <w:sz w:val="44"/>
          <w:szCs w:val="44"/>
        </w:rPr>
      </w:pPr>
    </w:p>
    <w:p w14:paraId="039673E6">
      <w:pPr>
        <w:suppressAutoHyphens/>
        <w:adjustRightInd w:val="0"/>
        <w:spacing w:line="560" w:lineRule="exact"/>
        <w:jc w:val="center"/>
        <w:rPr>
          <w:rFonts w:ascii="Times New Roman" w:hAnsi="Times New Roman" w:eastAsia="华文中宋"/>
          <w:b/>
          <w:kern w:val="0"/>
          <w:sz w:val="44"/>
          <w:szCs w:val="44"/>
        </w:rPr>
      </w:pPr>
    </w:p>
    <w:p w14:paraId="0CC44545">
      <w:pPr>
        <w:suppressAutoHyphens/>
        <w:adjustRightInd w:val="0"/>
        <w:spacing w:line="560" w:lineRule="exact"/>
        <w:jc w:val="center"/>
        <w:rPr>
          <w:rFonts w:ascii="Times New Roman" w:hAnsi="Times New Roman" w:eastAsia="华文中宋"/>
          <w:b/>
          <w:kern w:val="0"/>
          <w:sz w:val="44"/>
          <w:szCs w:val="44"/>
        </w:rPr>
      </w:pPr>
    </w:p>
    <w:p w14:paraId="26EAB5FF">
      <w:pPr>
        <w:suppressAutoHyphens/>
        <w:adjustRightInd w:val="0"/>
        <w:spacing w:line="560" w:lineRule="exact"/>
        <w:jc w:val="center"/>
        <w:rPr>
          <w:rFonts w:ascii="Times New Roman" w:hAnsi="Times New Roman" w:eastAsia="华文中宋"/>
          <w:b/>
          <w:kern w:val="0"/>
          <w:sz w:val="44"/>
          <w:szCs w:val="44"/>
        </w:rPr>
      </w:pPr>
    </w:p>
    <w:p w14:paraId="469F69D5">
      <w:pPr>
        <w:suppressAutoHyphens/>
        <w:adjustRightInd w:val="0"/>
        <w:spacing w:line="560" w:lineRule="exact"/>
        <w:jc w:val="center"/>
        <w:rPr>
          <w:rFonts w:ascii="Times New Roman" w:hAnsi="Times New Roman" w:eastAsia="华文中宋"/>
          <w:b/>
          <w:kern w:val="0"/>
          <w:sz w:val="44"/>
          <w:szCs w:val="44"/>
        </w:rPr>
      </w:pPr>
    </w:p>
    <w:p w14:paraId="3A203210">
      <w:pPr>
        <w:suppressAutoHyphens/>
        <w:adjustRightInd w:val="0"/>
        <w:spacing w:line="560" w:lineRule="exact"/>
        <w:jc w:val="center"/>
        <w:rPr>
          <w:rFonts w:ascii="Times New Roman" w:hAnsi="Times New Roman" w:eastAsia="华文中宋"/>
          <w:b/>
          <w:kern w:val="0"/>
          <w:sz w:val="44"/>
          <w:szCs w:val="44"/>
        </w:rPr>
      </w:pPr>
    </w:p>
    <w:p w14:paraId="754289F7">
      <w:pPr>
        <w:suppressAutoHyphens/>
        <w:adjustRightInd w:val="0"/>
        <w:spacing w:line="560" w:lineRule="exact"/>
        <w:jc w:val="center"/>
        <w:rPr>
          <w:rFonts w:ascii="Times New Roman" w:hAnsi="Times New Roman" w:eastAsia="华文中宋"/>
          <w:b/>
          <w:kern w:val="0"/>
          <w:sz w:val="44"/>
          <w:szCs w:val="44"/>
        </w:rPr>
      </w:pPr>
    </w:p>
    <w:p w14:paraId="583AA119">
      <w:pPr>
        <w:suppressAutoHyphens/>
        <w:adjustRightInd w:val="0"/>
        <w:spacing w:line="560" w:lineRule="exact"/>
        <w:rPr>
          <w:rFonts w:hint="eastAsia" w:ascii="Times New Roman" w:hAnsi="Times New Roman" w:eastAsia="华文中宋"/>
          <w:b/>
          <w:kern w:val="0"/>
          <w:sz w:val="44"/>
          <w:szCs w:val="44"/>
        </w:rPr>
      </w:pPr>
    </w:p>
    <w:p w14:paraId="2A952AE8">
      <w:pPr>
        <w:suppressAutoHyphens/>
        <w:adjustRightInd w:val="0"/>
        <w:spacing w:line="560" w:lineRule="exact"/>
        <w:rPr>
          <w:rFonts w:ascii="Times New Roman" w:hAnsi="Times New Roman" w:eastAsia="华文中宋"/>
          <w:b/>
          <w:kern w:val="0"/>
          <w:sz w:val="44"/>
          <w:szCs w:val="44"/>
        </w:rPr>
      </w:pPr>
    </w:p>
    <w:p w14:paraId="6ECEFA28">
      <w:pPr>
        <w:suppressAutoHyphens/>
        <w:adjustRightInd w:val="0"/>
        <w:spacing w:line="560" w:lineRule="exact"/>
        <w:rPr>
          <w:rFonts w:ascii="Times New Roman" w:hAnsi="Times New Roman" w:eastAsia="华文中宋"/>
          <w:b/>
          <w:kern w:val="0"/>
          <w:sz w:val="44"/>
          <w:szCs w:val="44"/>
        </w:rPr>
      </w:pPr>
    </w:p>
    <w:p w14:paraId="0295A6AC">
      <w:pPr>
        <w:suppressAutoHyphens/>
        <w:adjustRightInd w:val="0"/>
        <w:spacing w:line="560" w:lineRule="exact"/>
        <w:jc w:val="center"/>
        <w:rPr>
          <w:rFonts w:ascii="Times New Roman" w:hAnsi="Times New Roman" w:eastAsia="华文中宋"/>
          <w:b/>
          <w:kern w:val="0"/>
          <w:sz w:val="44"/>
          <w:szCs w:val="44"/>
        </w:rPr>
      </w:pPr>
    </w:p>
    <w:p w14:paraId="474EF7AE">
      <w:pPr>
        <w:widowControl/>
        <w:spacing w:line="560" w:lineRule="exact"/>
        <w:ind w:right="32"/>
        <w:jc w:val="center"/>
        <w:outlineLvl w:val="0"/>
        <w:rPr>
          <w:rFonts w:ascii="Times New Roman" w:hAnsi="Times New Roman" w:eastAsia="楷体_GB2312"/>
          <w:kern w:val="0"/>
          <w:sz w:val="32"/>
          <w:szCs w:val="32"/>
        </w:rPr>
      </w:pPr>
      <w:r>
        <w:rPr>
          <w:rFonts w:hint="eastAsia" w:ascii="Times New Roman" w:hAnsi="Times New Roman" w:eastAsia="楷体_GB2312"/>
          <w:kern w:val="0"/>
          <w:sz w:val="32"/>
          <w:szCs w:val="32"/>
        </w:rPr>
        <w:t>北京市</w:t>
      </w:r>
      <w:r>
        <w:rPr>
          <w:rFonts w:ascii="Times New Roman" w:hAnsi="Times New Roman" w:eastAsia="楷体_GB2312"/>
          <w:kern w:val="0"/>
          <w:sz w:val="32"/>
          <w:szCs w:val="32"/>
        </w:rPr>
        <w:t>东城区</w:t>
      </w:r>
      <w:r>
        <w:rPr>
          <w:rFonts w:hint="eastAsia" w:ascii="Times New Roman" w:hAnsi="Times New Roman" w:eastAsia="楷体_GB2312"/>
          <w:kern w:val="0"/>
          <w:sz w:val="32"/>
          <w:szCs w:val="32"/>
        </w:rPr>
        <w:t>司法局</w:t>
      </w:r>
    </w:p>
    <w:p w14:paraId="551AC55C">
      <w:pPr>
        <w:spacing w:line="560" w:lineRule="exact"/>
        <w:jc w:val="center"/>
        <w:rPr>
          <w:rFonts w:ascii="Times New Roman" w:hAnsi="Times New Roman" w:eastAsia="楷体_GB2312"/>
          <w:sz w:val="32"/>
          <w:szCs w:val="32"/>
        </w:rPr>
      </w:pPr>
      <w:r>
        <w:rPr>
          <w:rFonts w:ascii="Times New Roman" w:hAnsi="Times New Roman" w:eastAsia="楷体_GB2312"/>
          <w:sz w:val="32"/>
          <w:szCs w:val="32"/>
        </w:rPr>
        <w:t>201</w:t>
      </w:r>
      <w:r>
        <w:rPr>
          <w:rFonts w:hint="eastAsia" w:ascii="Times New Roman" w:hAnsi="Times New Roman" w:eastAsia="楷体_GB2312"/>
          <w:sz w:val="32"/>
          <w:szCs w:val="32"/>
        </w:rPr>
        <w:t>9</w:t>
      </w:r>
      <w:r>
        <w:rPr>
          <w:rFonts w:ascii="Times New Roman" w:hAnsi="Times New Roman" w:eastAsia="楷体_GB2312"/>
          <w:sz w:val="32"/>
          <w:szCs w:val="32"/>
        </w:rPr>
        <w:t>年3月</w:t>
      </w:r>
    </w:p>
    <w:p w14:paraId="25389741">
      <w:pPr>
        <w:widowControl/>
        <w:spacing w:before="156" w:beforeLines="50" w:after="156" w:afterLines="50" w:line="580" w:lineRule="exact"/>
        <w:jc w:val="center"/>
        <w:rPr>
          <w:rFonts w:ascii="黑体" w:hAnsi="黑体" w:eastAsia="黑体" w:cs="宋体"/>
          <w:kern w:val="0"/>
          <w:sz w:val="32"/>
          <w:szCs w:val="32"/>
        </w:rPr>
      </w:pPr>
      <w:r>
        <w:rPr>
          <w:rFonts w:hint="eastAsia" w:ascii="黑体" w:hAnsi="黑体" w:eastAsia="黑体" w:cs="宋体"/>
          <w:kern w:val="0"/>
          <w:sz w:val="32"/>
          <w:szCs w:val="32"/>
        </w:rPr>
        <w:t>引言</w:t>
      </w:r>
    </w:p>
    <w:p w14:paraId="08F99D2D">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本报告根据《中华人民共和国政府信息公开条例》（以下简称《条例》）及《北京市政府信息公开规定》（以下简称《规定》）要求，</w:t>
      </w:r>
      <w:r>
        <w:rPr>
          <w:rFonts w:hint="eastAsia" w:ascii="仿宋_GB2312" w:hAnsi="Calibri" w:eastAsia="仿宋_GB2312" w:cs="宋体"/>
          <w:kern w:val="0"/>
          <w:sz w:val="32"/>
          <w:szCs w:val="32"/>
        </w:rPr>
        <w:t>由北京市东城区司法局编制的</w:t>
      </w:r>
      <w:r>
        <w:rPr>
          <w:rFonts w:hint="eastAsia" w:ascii="仿宋_GB2312" w:hAnsi="Calibri" w:eastAsia="仿宋_GB2312" w:cs="Calibri"/>
          <w:kern w:val="0"/>
          <w:sz w:val="32"/>
          <w:szCs w:val="32"/>
        </w:rPr>
        <w:t>2018年</w:t>
      </w:r>
      <w:r>
        <w:rPr>
          <w:rFonts w:hint="eastAsia" w:ascii="仿宋_GB2312" w:hAnsi="Calibri" w:eastAsia="仿宋_GB2312" w:cs="宋体"/>
          <w:kern w:val="0"/>
          <w:sz w:val="32"/>
          <w:szCs w:val="32"/>
        </w:rPr>
        <w:t>度政府信息公开年度报告。</w:t>
      </w:r>
    </w:p>
    <w:p w14:paraId="084B937C">
      <w:pPr>
        <w:widowControl/>
        <w:spacing w:line="580" w:lineRule="exact"/>
        <w:ind w:firstLine="640" w:firstLineChars="20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全文包括2018年北京市东城区司法局政府信息公开工作总体情况，主动公开政府信息情况，依申请公开政府信息情况，因政府信息公开申请行政复议、提起行政诉讼的情况，政府信息公开工作存在的不足和2019年重点工作。</w:t>
      </w:r>
    </w:p>
    <w:p w14:paraId="2576A713">
      <w:pPr>
        <w:spacing w:line="58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本报告中所列数据的统计期限自2018年1月1日起，至2018年12月31日止。本报告的电子版可在本局信息公开专栏（</w:t>
      </w:r>
      <w:r>
        <w:rPr>
          <w:rFonts w:ascii="仿宋_GB2312" w:hAnsi="Calibri" w:eastAsia="仿宋_GB2312" w:cs="宋体"/>
          <w:kern w:val="0"/>
          <w:sz w:val="32"/>
          <w:szCs w:val="32"/>
        </w:rPr>
        <w:t>http://www.beijing.gov.cn/zfxxgk/dcq11A033/dcbm_index.shtml</w:t>
      </w:r>
      <w:r>
        <w:rPr>
          <w:rFonts w:hint="eastAsia" w:ascii="仿宋_GB2312" w:hAnsi="Calibri" w:eastAsia="仿宋_GB2312" w:cs="宋体"/>
          <w:kern w:val="0"/>
          <w:sz w:val="32"/>
          <w:szCs w:val="32"/>
        </w:rPr>
        <w:t>）下载。如对本报告有任何疑问，请与东城区司法局法制科联系（地址:北京市东城区和平里南街六区16号楼；邮编：100013；联系电话：010-84217023；电子邮箱：</w:t>
      </w:r>
      <w:r>
        <w:rPr>
          <w:rFonts w:ascii="仿宋_GB2312" w:hAnsi="Calibri" w:eastAsia="仿宋_GB2312" w:cs="宋体"/>
          <w:kern w:val="0"/>
          <w:sz w:val="32"/>
          <w:szCs w:val="32"/>
        </w:rPr>
        <w:t>bjsdcqsfjfzk@bjdch.gov.cn</w:t>
      </w:r>
      <w:r>
        <w:rPr>
          <w:rFonts w:hint="eastAsia" w:ascii="仿宋_GB2312" w:hAnsi="Calibri" w:eastAsia="仿宋_GB2312" w:cs="宋体"/>
          <w:kern w:val="0"/>
          <w:sz w:val="32"/>
          <w:szCs w:val="32"/>
        </w:rPr>
        <w:t>）。</w:t>
      </w:r>
    </w:p>
    <w:p w14:paraId="6D979F4D">
      <w:pPr>
        <w:widowControl/>
        <w:spacing w:before="156" w:beforeLines="50" w:after="156" w:afterLines="50" w:line="580" w:lineRule="exact"/>
        <w:jc w:val="center"/>
        <w:rPr>
          <w:rFonts w:ascii="黑体" w:hAnsi="黑体" w:eastAsia="黑体" w:cs="宋体"/>
          <w:kern w:val="0"/>
          <w:sz w:val="32"/>
          <w:szCs w:val="32"/>
        </w:rPr>
      </w:pPr>
      <w:r>
        <w:rPr>
          <w:rFonts w:ascii="黑体" w:hAnsi="黑体" w:eastAsia="黑体" w:cs="宋体"/>
          <w:kern w:val="0"/>
          <w:sz w:val="32"/>
          <w:szCs w:val="32"/>
        </w:rPr>
        <w:br w:type="column"/>
      </w:r>
      <w:r>
        <w:rPr>
          <w:rFonts w:hint="eastAsia" w:ascii="黑体" w:hAnsi="黑体" w:eastAsia="黑体" w:cs="宋体"/>
          <w:kern w:val="0"/>
          <w:sz w:val="32"/>
          <w:szCs w:val="32"/>
        </w:rPr>
        <w:t>一、概述</w:t>
      </w:r>
    </w:p>
    <w:p w14:paraId="3840F86B">
      <w:pPr>
        <w:widowControl/>
        <w:spacing w:line="580" w:lineRule="exact"/>
        <w:ind w:firstLine="755" w:firstLineChars="236"/>
        <w:jc w:val="left"/>
        <w:rPr>
          <w:rFonts w:ascii="仿宋_GB2312" w:hAnsi="Calibri" w:eastAsia="仿宋_GB2312" w:cs="Calibri"/>
          <w:kern w:val="0"/>
          <w:sz w:val="32"/>
          <w:szCs w:val="32"/>
        </w:rPr>
      </w:pPr>
      <w:r>
        <w:rPr>
          <w:rFonts w:hint="eastAsia" w:ascii="仿宋_GB2312" w:hAnsi="Calibri" w:eastAsia="仿宋_GB2312" w:cs="Calibri"/>
          <w:kern w:val="0"/>
          <w:sz w:val="32"/>
          <w:szCs w:val="32"/>
        </w:rPr>
        <w:t>2018年，东城区司法局深入学习贯彻落实党的十九大和十九届二中、三中全会精神，以习近平新时代中国特色社会主义思想为指导，牢固树立“四个意识”，认真贯彻落实《中华人民共和国政府信息公开条例》《北京市政府信息公开规定》和《东城区2018政务公开工作要点》，结合全区司法行政工作实际，坚持以公开为常态，不公开为例外，全面推进政务公开，持续着力提升政府信息和政务公开工作实效，让广大民众看得到、看得懂、能监督，有力地保障了广大民众的知情权、监督权。</w:t>
      </w:r>
    </w:p>
    <w:p w14:paraId="64835920">
      <w:pPr>
        <w:widowControl/>
        <w:spacing w:before="156" w:beforeLines="50" w:after="156" w:afterLines="50" w:line="580" w:lineRule="exact"/>
        <w:jc w:val="center"/>
        <w:rPr>
          <w:rFonts w:ascii="黑体" w:hAnsi="黑体" w:eastAsia="黑体" w:cs="宋体"/>
          <w:kern w:val="0"/>
          <w:sz w:val="32"/>
          <w:szCs w:val="32"/>
        </w:rPr>
      </w:pPr>
    </w:p>
    <w:p w14:paraId="4C4ED61C">
      <w:pPr>
        <w:widowControl/>
        <w:spacing w:before="156" w:beforeLines="50" w:after="156" w:afterLines="50" w:line="580" w:lineRule="exact"/>
        <w:jc w:val="center"/>
        <w:rPr>
          <w:rFonts w:ascii="黑体" w:hAnsi="黑体" w:eastAsia="黑体" w:cs="宋体"/>
          <w:kern w:val="0"/>
          <w:sz w:val="32"/>
          <w:szCs w:val="32"/>
        </w:rPr>
      </w:pPr>
      <w:r>
        <w:rPr>
          <w:rFonts w:hint="eastAsia" w:ascii="黑体" w:hAnsi="黑体" w:eastAsia="黑体" w:cs="宋体"/>
          <w:kern w:val="0"/>
          <w:sz w:val="32"/>
          <w:szCs w:val="32"/>
        </w:rPr>
        <w:t>二、主动公开情况</w:t>
      </w:r>
    </w:p>
    <w:p w14:paraId="4470B1A0">
      <w:pPr>
        <w:widowControl/>
        <w:spacing w:line="58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（一）主动公开信息数量</w:t>
      </w:r>
    </w:p>
    <w:p w14:paraId="6B182A88">
      <w:pPr>
        <w:widowControl/>
        <w:spacing w:line="58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截至2018年12月31日，本局全年共主动公开政府信息1330条。其中，主动公开财政预算决算、“三公”经费和行政经费信息数2条。</w:t>
      </w:r>
    </w:p>
    <w:p w14:paraId="5B833DF8">
      <w:pPr>
        <w:widowControl/>
        <w:spacing w:line="58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通过不同渠道和方式公开政府信息的情况，其中，政府网站公开政府信息数442条，政务微博公开政府信息数288条，政务微信公开政府信息数600条。</w:t>
      </w:r>
    </w:p>
    <w:p w14:paraId="39325FD8">
      <w:pPr>
        <w:widowControl/>
        <w:spacing w:line="58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（二）公开形式</w:t>
      </w:r>
    </w:p>
    <w:p w14:paraId="23AD6AD2">
      <w:pPr>
        <w:widowControl/>
        <w:spacing w:line="580" w:lineRule="exact"/>
        <w:ind w:firstLine="755" w:firstLineChars="236"/>
        <w:jc w:val="left"/>
        <w:rPr>
          <w:rFonts w:ascii="仿宋_GB2312" w:hAnsi="宋体" w:eastAsia="仿宋_GB2312" w:cs="宋体"/>
          <w:kern w:val="0"/>
          <w:sz w:val="32"/>
          <w:szCs w:val="32"/>
        </w:rPr>
      </w:pPr>
      <w:r>
        <w:rPr>
          <w:rFonts w:hint="eastAsia" w:ascii="仿宋_GB2312" w:hAnsi="Calibri" w:eastAsia="仿宋_GB2312" w:cs="宋体"/>
          <w:kern w:val="0"/>
          <w:sz w:val="32"/>
          <w:szCs w:val="32"/>
        </w:rPr>
        <w:t>按照及时、准确、完整、规范的要求，本局不断拓展政府信息公开渠道。一是通过本局信息公开专栏（</w:t>
      </w:r>
      <w:r>
        <w:rPr>
          <w:rFonts w:ascii="仿宋_GB2312" w:hAnsi="Calibri" w:eastAsia="仿宋_GB2312" w:cs="宋体"/>
          <w:kern w:val="0"/>
          <w:sz w:val="32"/>
          <w:szCs w:val="32"/>
        </w:rPr>
        <w:t>http://www.beijing.gov.cn/zfxxgk/dcq11A033/dcbm_index.shtml</w:t>
      </w:r>
      <w:r>
        <w:rPr>
          <w:rFonts w:hint="eastAsia" w:ascii="仿宋_GB2312" w:hAnsi="Calibri" w:eastAsia="仿宋_GB2312" w:cs="宋体"/>
          <w:kern w:val="0"/>
          <w:sz w:val="32"/>
          <w:szCs w:val="32"/>
        </w:rPr>
        <w:t>）进行主动公开；二是通过本局在“数字东城”集约网站（</w:t>
      </w:r>
      <w:r>
        <w:rPr>
          <w:rFonts w:ascii="仿宋_GB2312" w:hAnsi="Calibri" w:eastAsia="仿宋_GB2312" w:cs="宋体"/>
          <w:kern w:val="0"/>
          <w:sz w:val="32"/>
          <w:szCs w:val="32"/>
        </w:rPr>
        <w:t>http://www.bjdch.gov.cn/n1992907/n2498077/n2498078/index.html</w:t>
      </w:r>
      <w:r>
        <w:rPr>
          <w:rFonts w:hint="eastAsia" w:ascii="仿宋_GB2312" w:hAnsi="Calibri" w:eastAsia="仿宋_GB2312" w:cs="宋体"/>
          <w:kern w:val="0"/>
          <w:sz w:val="32"/>
          <w:szCs w:val="32"/>
        </w:rPr>
        <w:t>）进行主动公开；三是通过“东城司法”政务微博、“法治东城”政务微信，及时发布政府信息。</w:t>
      </w:r>
    </w:p>
    <w:p w14:paraId="5BE456E8">
      <w:pPr>
        <w:widowControl/>
        <w:spacing w:before="156" w:beforeLines="50" w:after="156" w:afterLines="50" w:line="580" w:lineRule="exact"/>
        <w:jc w:val="center"/>
        <w:rPr>
          <w:rFonts w:ascii="黑体" w:hAnsi="黑体" w:eastAsia="黑体" w:cs="宋体"/>
          <w:kern w:val="0"/>
          <w:sz w:val="32"/>
          <w:szCs w:val="32"/>
        </w:rPr>
      </w:pPr>
    </w:p>
    <w:p w14:paraId="72D0AAFD">
      <w:pPr>
        <w:widowControl/>
        <w:spacing w:before="156" w:beforeLines="50" w:after="156" w:afterLines="50" w:line="580" w:lineRule="exact"/>
        <w:jc w:val="center"/>
        <w:rPr>
          <w:rFonts w:ascii="黑体" w:hAnsi="黑体" w:eastAsia="黑体" w:cs="宋体"/>
          <w:kern w:val="0"/>
          <w:sz w:val="32"/>
          <w:szCs w:val="32"/>
        </w:rPr>
      </w:pPr>
      <w:r>
        <w:rPr>
          <w:rFonts w:hint="eastAsia" w:ascii="黑体" w:hAnsi="黑体" w:eastAsia="黑体" w:cs="宋体"/>
          <w:kern w:val="0"/>
          <w:sz w:val="32"/>
          <w:szCs w:val="32"/>
        </w:rPr>
        <w:t>三、依申请公开情况</w:t>
      </w:r>
    </w:p>
    <w:p w14:paraId="34B0E7B0">
      <w:pPr>
        <w:widowControl/>
        <w:spacing w:line="58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（一）申请情况</w:t>
      </w:r>
    </w:p>
    <w:p w14:paraId="7C5E3EB5">
      <w:pPr>
        <w:widowControl/>
        <w:spacing w:line="58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2018年，本局共受理依申请公开申请4件，均已按期答复。从申请方式上看，网络申请1件，占总数的25%，信函申请3件，占总数的75%。</w:t>
      </w:r>
    </w:p>
    <w:p w14:paraId="729949F0">
      <w:pPr>
        <w:widowControl/>
        <w:spacing w:line="58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（二）答复情况</w:t>
      </w:r>
    </w:p>
    <w:p w14:paraId="6FB76822">
      <w:pPr>
        <w:spacing w:line="580" w:lineRule="exact"/>
        <w:ind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从答复类型上看：</w:t>
      </w:r>
    </w:p>
    <w:p w14:paraId="1470F911">
      <w:pPr>
        <w:spacing w:line="580" w:lineRule="exact"/>
        <w:ind w:firstLine="640" w:firstLineChars="200"/>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同意公开</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2件，占总数的50</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w:t>
      </w:r>
    </w:p>
    <w:p w14:paraId="66CF8288">
      <w:pPr>
        <w:spacing w:line="580" w:lineRule="exact"/>
        <w:ind w:firstLine="480" w:firstLineChars="150"/>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“同意部分公开”1件，占总数的25</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w:t>
      </w:r>
    </w:p>
    <w:p w14:paraId="3ADC0ABC">
      <w:pPr>
        <w:widowControl/>
        <w:spacing w:line="580" w:lineRule="exact"/>
        <w:ind w:firstLine="480" w:firstLineChars="150"/>
        <w:jc w:val="left"/>
        <w:rPr>
          <w:rFonts w:ascii="仿宋_GB2312" w:hAnsi="Calibri" w:eastAsia="仿宋_GB2312" w:cs="Calibri"/>
          <w:kern w:val="0"/>
          <w:sz w:val="32"/>
          <w:szCs w:val="32"/>
        </w:rPr>
      </w:pPr>
      <w:r>
        <w:rPr>
          <w:rFonts w:hint="eastAsia" w:ascii="仿宋_GB2312" w:hAnsi="Calibri" w:eastAsia="仿宋_GB2312" w:cs="Calibri"/>
          <w:kern w:val="0"/>
          <w:sz w:val="32"/>
          <w:szCs w:val="32"/>
        </w:rPr>
        <w:t>“信息不存在”1件，占总数的25%。</w:t>
      </w:r>
    </w:p>
    <w:p w14:paraId="2DC707A1">
      <w:pPr>
        <w:spacing w:line="580" w:lineRule="exact"/>
        <w:ind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申请内容主要涉及获取我局办理区政协委员提案情况、社区矫正和安置帮教工作规划、街道司法所规范化建设方案等方面。</w:t>
      </w:r>
    </w:p>
    <w:p w14:paraId="30692AD2">
      <w:pPr>
        <w:widowControl/>
        <w:spacing w:line="58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（三）依申请公开政府信息收费情况</w:t>
      </w:r>
    </w:p>
    <w:p w14:paraId="63355D30">
      <w:pPr>
        <w:spacing w:line="580" w:lineRule="exact"/>
        <w:ind w:firstLine="640" w:firstLineChars="200"/>
        <w:rPr>
          <w:rFonts w:ascii="仿宋_GB2312" w:hAnsi="Calibri" w:eastAsia="仿宋_GB2312" w:cs="宋体"/>
          <w:kern w:val="0"/>
          <w:sz w:val="32"/>
          <w:szCs w:val="32"/>
        </w:rPr>
      </w:pPr>
      <w:r>
        <w:rPr>
          <w:rFonts w:ascii="仿宋_GB2312" w:hAnsi="Calibri" w:eastAsia="仿宋_GB2312" w:cs="宋体"/>
          <w:kern w:val="0"/>
          <w:sz w:val="32"/>
          <w:szCs w:val="32"/>
        </w:rPr>
        <w:t>201</w:t>
      </w:r>
      <w:r>
        <w:rPr>
          <w:rFonts w:hint="eastAsia" w:ascii="仿宋_GB2312" w:hAnsi="Calibri" w:eastAsia="仿宋_GB2312" w:cs="宋体"/>
          <w:kern w:val="0"/>
          <w:sz w:val="32"/>
          <w:szCs w:val="32"/>
        </w:rPr>
        <w:t>8年，未产生政府信息公开相关的费用支出，没有向政府信息公开申请人收取任何费用。</w:t>
      </w:r>
    </w:p>
    <w:p w14:paraId="7BBB9BF8">
      <w:pPr>
        <w:widowControl/>
        <w:spacing w:before="156" w:beforeLines="50" w:after="156" w:afterLines="50" w:line="580" w:lineRule="exact"/>
        <w:jc w:val="center"/>
        <w:rPr>
          <w:rFonts w:ascii="黑体" w:hAnsi="黑体" w:eastAsia="黑体" w:cs="宋体"/>
          <w:kern w:val="0"/>
          <w:sz w:val="32"/>
          <w:szCs w:val="32"/>
        </w:rPr>
      </w:pPr>
    </w:p>
    <w:p w14:paraId="2858F459">
      <w:pPr>
        <w:widowControl/>
        <w:spacing w:before="156" w:beforeLines="50" w:after="156" w:afterLines="50" w:line="580" w:lineRule="exact"/>
        <w:jc w:val="center"/>
        <w:rPr>
          <w:rFonts w:ascii="黑体" w:hAnsi="黑体" w:eastAsia="黑体" w:cs="宋体"/>
          <w:kern w:val="0"/>
          <w:sz w:val="32"/>
          <w:szCs w:val="32"/>
        </w:rPr>
      </w:pPr>
      <w:r>
        <w:rPr>
          <w:rFonts w:hint="eastAsia" w:ascii="黑体" w:hAnsi="黑体" w:eastAsia="黑体" w:cs="宋体"/>
          <w:kern w:val="0"/>
          <w:sz w:val="32"/>
          <w:szCs w:val="32"/>
        </w:rPr>
        <w:t>四、复议、诉讼情况</w:t>
      </w:r>
    </w:p>
    <w:p w14:paraId="2A393F43">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Calibri" w:eastAsia="仿宋_GB2312" w:cs="Calibri"/>
          <w:kern w:val="0"/>
          <w:sz w:val="32"/>
          <w:szCs w:val="32"/>
        </w:rPr>
        <w:t>2018年</w:t>
      </w:r>
      <w:r>
        <w:rPr>
          <w:rFonts w:hint="eastAsia" w:ascii="仿宋_GB2312" w:hAnsi="Calibri" w:eastAsia="仿宋_GB2312" w:cs="宋体"/>
          <w:kern w:val="0"/>
          <w:sz w:val="32"/>
          <w:szCs w:val="32"/>
        </w:rPr>
        <w:t>，针对本局政府信息公开的行政复议申请</w:t>
      </w:r>
      <w:r>
        <w:rPr>
          <w:rFonts w:hint="eastAsia" w:ascii="仿宋_GB2312" w:hAnsi="Calibri" w:eastAsia="仿宋_GB2312" w:cs="Calibri"/>
          <w:kern w:val="0"/>
          <w:sz w:val="32"/>
          <w:szCs w:val="32"/>
        </w:rPr>
        <w:t>1</w:t>
      </w:r>
      <w:r>
        <w:rPr>
          <w:rFonts w:hint="eastAsia" w:ascii="仿宋_GB2312" w:hAnsi="Calibri" w:eastAsia="仿宋_GB2312" w:cs="宋体"/>
          <w:kern w:val="0"/>
          <w:sz w:val="32"/>
          <w:szCs w:val="32"/>
        </w:rPr>
        <w:t>件，被依法纠错1件。针对本局政府信息公开的行政诉讼</w:t>
      </w:r>
      <w:r>
        <w:rPr>
          <w:rFonts w:hint="eastAsia" w:ascii="仿宋_GB2312" w:hAnsi="Calibri" w:eastAsia="仿宋_GB2312" w:cs="Calibri"/>
          <w:kern w:val="0"/>
          <w:sz w:val="32"/>
          <w:szCs w:val="32"/>
        </w:rPr>
        <w:t>0</w:t>
      </w:r>
      <w:r>
        <w:rPr>
          <w:rFonts w:hint="eastAsia" w:ascii="仿宋_GB2312" w:hAnsi="Calibri" w:eastAsia="仿宋_GB2312" w:cs="宋体"/>
          <w:kern w:val="0"/>
          <w:sz w:val="32"/>
          <w:szCs w:val="32"/>
        </w:rPr>
        <w:t>件。</w:t>
      </w:r>
    </w:p>
    <w:p w14:paraId="2CDD6AC2">
      <w:pPr>
        <w:widowControl/>
        <w:spacing w:before="156" w:beforeLines="50" w:after="156" w:afterLines="50" w:line="580" w:lineRule="exact"/>
        <w:jc w:val="center"/>
        <w:rPr>
          <w:rFonts w:ascii="黑体" w:hAnsi="黑体" w:eastAsia="黑体" w:cs="宋体"/>
          <w:kern w:val="0"/>
          <w:sz w:val="32"/>
          <w:szCs w:val="32"/>
        </w:rPr>
      </w:pPr>
    </w:p>
    <w:p w14:paraId="1CD4D09C">
      <w:pPr>
        <w:widowControl/>
        <w:spacing w:before="156" w:beforeLines="50" w:after="156" w:afterLines="50" w:line="580" w:lineRule="exact"/>
        <w:jc w:val="center"/>
        <w:rPr>
          <w:rFonts w:ascii="黑体" w:hAnsi="黑体" w:eastAsia="黑体" w:cs="宋体"/>
          <w:kern w:val="0"/>
          <w:sz w:val="32"/>
          <w:szCs w:val="32"/>
        </w:rPr>
      </w:pPr>
      <w:r>
        <w:rPr>
          <w:rFonts w:hint="eastAsia" w:ascii="黑体" w:hAnsi="黑体" w:eastAsia="黑体" w:cs="宋体"/>
          <w:kern w:val="0"/>
          <w:sz w:val="32"/>
          <w:szCs w:val="32"/>
        </w:rPr>
        <w:t>五、存在的不足和2019年重点工作</w:t>
      </w:r>
    </w:p>
    <w:p w14:paraId="7CF27634">
      <w:pPr>
        <w:widowControl/>
        <w:spacing w:line="58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（一）存在的不足</w:t>
      </w:r>
    </w:p>
    <w:p w14:paraId="3A602BE9">
      <w:pPr>
        <w:widowControl/>
        <w:spacing w:line="58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Calibri"/>
          <w:kern w:val="0"/>
          <w:sz w:val="32"/>
          <w:szCs w:val="32"/>
        </w:rPr>
        <w:t>2018年本</w:t>
      </w:r>
      <w:r>
        <w:rPr>
          <w:rFonts w:hint="eastAsia" w:ascii="仿宋_GB2312" w:hAnsi="Calibri" w:eastAsia="仿宋_GB2312" w:cs="宋体"/>
          <w:kern w:val="0"/>
          <w:sz w:val="32"/>
          <w:szCs w:val="32"/>
        </w:rPr>
        <w:t>局政府信息公开工作在取得成效的同时，仍然存在着不足：一是信息公开的力度不够大，主动公开的意识需不断增强；二是信息公开的实效性、便民性需进一步提升，公开内容需不断丰富和完善；三是办理疑难复杂依申请公开案件的能力水平不高，需不断推动依申请公开案件分析研商机制建设，强化业务能力，进一步提升案件办理答复水平。</w:t>
      </w:r>
    </w:p>
    <w:p w14:paraId="4074577E">
      <w:pPr>
        <w:widowControl/>
        <w:spacing w:line="58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（二）2019年重点工作</w:t>
      </w:r>
    </w:p>
    <w:p w14:paraId="4152E88A">
      <w:pPr>
        <w:spacing w:line="580" w:lineRule="exact"/>
        <w:ind w:firstLine="640" w:firstLineChars="200"/>
        <w:rPr>
          <w:rFonts w:hint="eastAsia" w:ascii="仿宋_GB2312" w:hAnsi="Calibri" w:eastAsia="仿宋_GB2312" w:cs="Calibri"/>
          <w:kern w:val="0"/>
          <w:sz w:val="32"/>
          <w:szCs w:val="32"/>
        </w:rPr>
      </w:pPr>
      <w:r>
        <w:rPr>
          <w:rFonts w:hint="eastAsia" w:ascii="仿宋_GB2312" w:hAnsi="Calibri" w:eastAsia="仿宋_GB2312" w:cs="Calibri"/>
          <w:kern w:val="0"/>
          <w:sz w:val="32"/>
          <w:szCs w:val="32"/>
        </w:rPr>
        <w:t>一是认真贯彻新修订的《政府信息公开条例》，针对新法的理解和适用，积极开展业务学习，依法办理公众对我局提出的政府信息公开申请，有效满足公众的政府信息需求；二是强化政府信息公开与政务公开规范化建设，不断完善政府信息公开与政务公开工作机制，严格执行保密审查制度，促进政府信息公开与政务公开工作依法依规开展；三是进一步加强舆情回应。对重要舆情、媒体关切、突发事件等社会热点问题，及时通过门户网站、政务新媒体作出积极回应、正确引导舆论，传播正能量，营造良好的司法行政工作氛围。</w:t>
      </w:r>
    </w:p>
    <w:p w14:paraId="708B58F2">
      <w:pPr>
        <w:adjustRightInd w:val="0"/>
        <w:snapToGrid w:val="0"/>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附表：政府信息公开情况统计表（201</w:t>
      </w:r>
      <w:r>
        <w:rPr>
          <w:rFonts w:hint="eastAsia" w:ascii="Times New Roman" w:hAnsi="Times New Roman" w:eastAsia="黑体"/>
          <w:color w:val="000000" w:themeColor="text1"/>
          <w:sz w:val="32"/>
          <w:szCs w:val="32"/>
          <w14:textFill>
            <w14:solidFill>
              <w14:schemeClr w14:val="tx1"/>
            </w14:solidFill>
          </w14:textFill>
        </w:rPr>
        <w:t>8</w:t>
      </w:r>
      <w:r>
        <w:rPr>
          <w:rFonts w:ascii="Times New Roman" w:hAnsi="Times New Roman" w:eastAsia="黑体"/>
          <w:color w:val="000000" w:themeColor="text1"/>
          <w:sz w:val="32"/>
          <w:szCs w:val="32"/>
          <w14:textFill>
            <w14:solidFill>
              <w14:schemeClr w14:val="tx1"/>
            </w14:solidFill>
          </w14:textFill>
        </w:rPr>
        <w:t>年度）</w:t>
      </w:r>
    </w:p>
    <w:p w14:paraId="0CC86180">
      <w:pPr>
        <w:spacing w:line="560" w:lineRule="exact"/>
        <w:ind w:firstLine="640" w:firstLineChars="200"/>
        <w:rPr>
          <w:rFonts w:ascii="仿宋_GB2312" w:hAnsi="Calibri" w:eastAsia="仿宋_GB2312" w:cs="Calibri"/>
          <w:kern w:val="0"/>
          <w:sz w:val="32"/>
          <w:szCs w:val="32"/>
        </w:rPr>
      </w:pPr>
    </w:p>
    <w:p w14:paraId="67302810">
      <w:pPr>
        <w:spacing w:line="560" w:lineRule="exact"/>
        <w:rPr>
          <w:rFonts w:ascii="黑体" w:eastAsia="黑体"/>
          <w:sz w:val="32"/>
          <w:szCs w:val="32"/>
        </w:rPr>
      </w:pPr>
      <w:r>
        <w:rPr>
          <w:rFonts w:ascii="黑体" w:eastAsia="黑体"/>
          <w:sz w:val="32"/>
          <w:szCs w:val="32"/>
        </w:rPr>
        <w:br w:type="column"/>
      </w:r>
      <w:r>
        <w:rPr>
          <w:rFonts w:hint="eastAsia" w:ascii="黑体" w:eastAsia="黑体"/>
          <w:sz w:val="32"/>
          <w:szCs w:val="32"/>
        </w:rPr>
        <w:t>附件</w:t>
      </w:r>
    </w:p>
    <w:tbl>
      <w:tblPr>
        <w:tblStyle w:val="7"/>
        <w:tblW w:w="9555" w:type="dxa"/>
        <w:jc w:val="center"/>
        <w:tblLayout w:type="autofit"/>
        <w:tblCellMar>
          <w:top w:w="0" w:type="dxa"/>
          <w:left w:w="108" w:type="dxa"/>
          <w:bottom w:w="0" w:type="dxa"/>
          <w:right w:w="108" w:type="dxa"/>
        </w:tblCellMar>
      </w:tblPr>
      <w:tblGrid>
        <w:gridCol w:w="7470"/>
        <w:gridCol w:w="285"/>
        <w:gridCol w:w="475"/>
        <w:gridCol w:w="245"/>
        <w:gridCol w:w="1080"/>
      </w:tblGrid>
      <w:tr w14:paraId="4D3280A9">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14:paraId="6BF5CF78">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noWrap/>
            <w:vAlign w:val="center"/>
          </w:tcPr>
          <w:p w14:paraId="4E5BCFDA">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noWrap/>
            <w:vAlign w:val="center"/>
          </w:tcPr>
          <w:p w14:paraId="6E28473B">
            <w:pPr>
              <w:widowControl/>
              <w:jc w:val="left"/>
              <w:rPr>
                <w:rFonts w:ascii="宋体" w:hAnsi="宋体" w:cs="宋体"/>
                <w:color w:val="000000"/>
                <w:kern w:val="0"/>
                <w:sz w:val="22"/>
              </w:rPr>
            </w:pPr>
          </w:p>
        </w:tc>
      </w:tr>
      <w:tr w14:paraId="29AA244F">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14:paraId="5586D6E2">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4453DAE1">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14:paraId="61E1B120">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2018  年度）</w:t>
            </w:r>
          </w:p>
        </w:tc>
      </w:tr>
      <w:tr w14:paraId="34B94A88">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14:paraId="1CB3B3D8">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noWrap/>
            <w:vAlign w:val="center"/>
          </w:tcPr>
          <w:p w14:paraId="243D73D8">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14:paraId="69CB86F2">
            <w:pPr>
              <w:widowControl/>
              <w:jc w:val="left"/>
              <w:rPr>
                <w:rFonts w:ascii="宋体" w:hAnsi="宋体" w:cs="宋体"/>
                <w:color w:val="000000"/>
                <w:kern w:val="0"/>
                <w:sz w:val="22"/>
              </w:rPr>
            </w:pPr>
          </w:p>
        </w:tc>
      </w:tr>
      <w:tr w14:paraId="35EAE0D9">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14:paraId="265C81EB">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填报单位（盖章）：北京市东城区司法局</w:t>
            </w:r>
          </w:p>
        </w:tc>
        <w:tc>
          <w:tcPr>
            <w:tcW w:w="720" w:type="dxa"/>
            <w:gridSpan w:val="2"/>
            <w:tcBorders>
              <w:top w:val="nil"/>
              <w:left w:val="nil"/>
              <w:bottom w:val="single" w:color="auto" w:sz="8" w:space="0"/>
              <w:right w:val="nil"/>
            </w:tcBorders>
            <w:shd w:val="clear" w:color="FFFFFF" w:fill="auto"/>
            <w:noWrap/>
            <w:vAlign w:val="center"/>
          </w:tcPr>
          <w:p w14:paraId="0464CE3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1A83028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0C4B06E7">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153244C0">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14:paraId="69420756">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04E7704C">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65286F2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504ED2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48448840">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764E4447">
            <w:pPr>
              <w:widowControl/>
              <w:jc w:val="left"/>
              <w:rPr>
                <w:rFonts w:ascii="宋体" w:hAnsi="宋体" w:cs="宋体"/>
                <w:color w:val="000000"/>
                <w:kern w:val="0"/>
                <w:sz w:val="24"/>
              </w:rPr>
            </w:pPr>
            <w:r>
              <w:rPr>
                <w:rFonts w:hint="eastAsia" w:ascii="宋体" w:hAnsi="宋体" w:cs="宋体"/>
                <w:color w:val="000000"/>
                <w:kern w:val="0"/>
                <w:sz w:val="24"/>
              </w:rPr>
              <w:t>　</w:t>
            </w:r>
          </w:p>
        </w:tc>
      </w:tr>
      <w:tr w14:paraId="3E0C82C5">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6847665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63C139F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DA93404">
            <w:pPr>
              <w:widowControl/>
              <w:rPr>
                <w:rFonts w:ascii="仿宋_GB2312" w:hAnsi="宋体" w:eastAsia="仿宋_GB2312" w:cs="宋体"/>
                <w:kern w:val="0"/>
                <w:sz w:val="24"/>
              </w:rPr>
            </w:pPr>
            <w:r>
              <w:rPr>
                <w:rFonts w:hint="eastAsia" w:ascii="仿宋_GB2312" w:hAnsi="宋体" w:eastAsia="仿宋_GB2312" w:cs="宋体"/>
                <w:kern w:val="0"/>
                <w:sz w:val="24"/>
              </w:rPr>
              <w:t>　1330</w:t>
            </w:r>
          </w:p>
        </w:tc>
      </w:tr>
      <w:tr w14:paraId="24A5525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A6CC5E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4C07228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FC5CE8A">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3DB3656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14:paraId="0BE167E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14:paraId="6293984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431AF44">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5B50A499">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DF1CE7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450FE0A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24B0F24">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04F67404">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558879">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w:t>
            </w:r>
            <w:bookmarkStart w:id="0" w:name="_GoBack"/>
            <w:bookmarkEnd w:id="0"/>
            <w:r>
              <w:rPr>
                <w:rFonts w:hint="eastAsia" w:ascii="仿宋_GB2312" w:hAnsi="宋体" w:eastAsia="仿宋_GB2312" w:cs="宋体"/>
                <w:kern w:val="0"/>
                <w:sz w:val="24"/>
              </w:rPr>
              <w:t>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10701C6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A942F83">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039627AA">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C8D5D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7266961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8FD1650">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7A5C0B5C">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54B9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2D8F56D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C145DB9">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0CEEC79F">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8A85F6">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2C40D58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E662E18">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42A015B3">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05ABE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7789F8E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470647B">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5A783B5E">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27FD7F">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5EC76EF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62A8E07">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4F8B3E2E">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7BC2F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568B6FA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3385FE0">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01436AE4">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55AB5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335C97D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C1C4B95">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46A2C179">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46DA8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68B96FD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95F9CD7">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0481B22F">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A627F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E5EAA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center"/>
          </w:tcPr>
          <w:p w14:paraId="74A960C1">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5B3729C9">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DCECB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4BB3D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center"/>
          </w:tcPr>
          <w:p w14:paraId="092799F4">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66BB826F">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8C007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4" w:space="0"/>
              <w:left w:val="single" w:color="auto" w:sz="4" w:space="0"/>
              <w:bottom w:val="single" w:color="auto" w:sz="8" w:space="0"/>
              <w:right w:val="single" w:color="auto" w:sz="8" w:space="0"/>
            </w:tcBorders>
            <w:shd w:val="clear" w:color="auto" w:fill="auto"/>
            <w:vAlign w:val="center"/>
          </w:tcPr>
          <w:p w14:paraId="27F4652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14:paraId="0485D68D">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122F9B4F">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6FEC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0F8234EC">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4700BD6">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5930FB2">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90560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49514F0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4FA49C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06AA332">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82324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3F6345D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5F20514">
            <w:pPr>
              <w:widowControl/>
              <w:jc w:val="center"/>
              <w:rPr>
                <w:rFonts w:ascii="仿宋_GB2312" w:hAnsi="宋体" w:eastAsia="仿宋_GB2312" w:cs="宋体"/>
                <w:kern w:val="0"/>
                <w:sz w:val="24"/>
              </w:rPr>
            </w:pPr>
            <w:r>
              <w:rPr>
                <w:rFonts w:hint="eastAsia" w:ascii="仿宋_GB2312" w:hAnsi="宋体" w:eastAsia="仿宋_GB2312" w:cs="宋体"/>
                <w:kern w:val="0"/>
                <w:sz w:val="24"/>
              </w:rPr>
              <w:t>442</w:t>
            </w:r>
          </w:p>
        </w:tc>
      </w:tr>
      <w:tr w14:paraId="3FE6AB9B">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50733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63DF685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4B35CC8">
            <w:pPr>
              <w:widowControl/>
              <w:jc w:val="center"/>
              <w:rPr>
                <w:rFonts w:ascii="仿宋_GB2312" w:hAnsi="宋体" w:eastAsia="仿宋_GB2312" w:cs="宋体"/>
                <w:kern w:val="0"/>
                <w:sz w:val="24"/>
              </w:rPr>
            </w:pPr>
            <w:r>
              <w:rPr>
                <w:rFonts w:hint="eastAsia" w:ascii="仿宋_GB2312" w:hAnsi="宋体" w:eastAsia="仿宋_GB2312" w:cs="宋体"/>
                <w:kern w:val="0"/>
                <w:sz w:val="24"/>
              </w:rPr>
              <w:t>288</w:t>
            </w:r>
          </w:p>
        </w:tc>
      </w:tr>
      <w:tr w14:paraId="599BF78F">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092FE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1617E0D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85BC875">
            <w:pPr>
              <w:widowControl/>
              <w:jc w:val="center"/>
              <w:rPr>
                <w:rFonts w:ascii="仿宋_GB2312" w:hAnsi="宋体" w:eastAsia="仿宋_GB2312" w:cs="宋体"/>
                <w:kern w:val="0"/>
                <w:sz w:val="24"/>
              </w:rPr>
            </w:pPr>
            <w:r>
              <w:rPr>
                <w:rFonts w:hint="eastAsia" w:ascii="仿宋_GB2312" w:hAnsi="宋体" w:eastAsia="仿宋_GB2312" w:cs="宋体"/>
                <w:kern w:val="0"/>
                <w:sz w:val="24"/>
              </w:rPr>
              <w:t>600</w:t>
            </w:r>
          </w:p>
        </w:tc>
      </w:tr>
      <w:tr w14:paraId="2D90765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F5DBD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2446609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4FC3A1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1B074D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915EB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5FADA4F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A789112">
            <w:pPr>
              <w:widowControl/>
              <w:jc w:val="left"/>
              <w:rPr>
                <w:rFonts w:ascii="宋体" w:hAnsi="宋体" w:cs="宋体"/>
                <w:color w:val="000000"/>
                <w:kern w:val="0"/>
                <w:sz w:val="24"/>
              </w:rPr>
            </w:pPr>
            <w:r>
              <w:rPr>
                <w:rFonts w:hint="eastAsia" w:ascii="宋体" w:hAnsi="宋体" w:cs="宋体"/>
                <w:color w:val="000000"/>
                <w:kern w:val="0"/>
                <w:sz w:val="24"/>
              </w:rPr>
              <w:t>　</w:t>
            </w:r>
          </w:p>
        </w:tc>
      </w:tr>
      <w:tr w14:paraId="106C0FCC">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959F1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14:paraId="7341210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558B81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54A5714">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C754A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595B4D90">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6DBB275D">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CED06C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268BF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0743F0A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621DC7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AEA53FE">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AEF35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48842C4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5A71A1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CE52E3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2AA371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06247B99">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60944B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71E767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2AF483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639E990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65921A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E9031F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0D95A7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14:paraId="63EB8AE5">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413DEF34">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72A51E2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690B25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0CA55B7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6ED983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B4B246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41AC81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23BADB0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B39576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C816C4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5BF0E7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66EE4491">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5F1EEC63">
            <w:pPr>
              <w:widowControl/>
              <w:jc w:val="left"/>
              <w:rPr>
                <w:rFonts w:ascii="宋体" w:hAnsi="宋体" w:cs="宋体"/>
                <w:color w:val="000000"/>
                <w:kern w:val="0"/>
                <w:sz w:val="24"/>
              </w:rPr>
            </w:pPr>
            <w:r>
              <w:rPr>
                <w:rFonts w:hint="eastAsia" w:ascii="仿宋_GB2312" w:hAnsi="宋体" w:eastAsia="仿宋_GB2312" w:cs="宋体"/>
                <w:kern w:val="0"/>
                <w:sz w:val="24"/>
              </w:rPr>
              <w:t>　</w:t>
            </w:r>
          </w:p>
        </w:tc>
      </w:tr>
      <w:tr w14:paraId="3E25B88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2F2C2E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A0A6F9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67256D5">
            <w:pPr>
              <w:widowControl/>
              <w:rPr>
                <w:rFonts w:ascii="仿宋_GB2312" w:hAnsi="宋体" w:eastAsia="仿宋_GB2312" w:cs="宋体"/>
                <w:kern w:val="0"/>
                <w:sz w:val="24"/>
              </w:rPr>
            </w:pPr>
            <w:r>
              <w:rPr>
                <w:rFonts w:hint="eastAsia" w:ascii="仿宋_GB2312" w:hAnsi="宋体" w:eastAsia="仿宋_GB2312" w:cs="宋体"/>
                <w:kern w:val="0"/>
                <w:sz w:val="24"/>
              </w:rPr>
              <w:t>　4</w:t>
            </w:r>
          </w:p>
        </w:tc>
      </w:tr>
      <w:tr w14:paraId="4951D99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06707A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8ED943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F8AA54C">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7616035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D80A02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51C7389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6ED4FD5">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026E545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EE1382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62AFC45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FBE4EDC">
            <w:pPr>
              <w:widowControl/>
              <w:rPr>
                <w:rFonts w:ascii="仿宋_GB2312" w:hAnsi="宋体" w:eastAsia="仿宋_GB2312" w:cs="宋体"/>
                <w:kern w:val="0"/>
                <w:sz w:val="24"/>
              </w:rPr>
            </w:pPr>
            <w:r>
              <w:rPr>
                <w:rFonts w:hint="eastAsia" w:ascii="仿宋_GB2312" w:hAnsi="宋体" w:eastAsia="仿宋_GB2312" w:cs="宋体"/>
                <w:kern w:val="0"/>
                <w:sz w:val="24"/>
              </w:rPr>
              <w:t>　1</w:t>
            </w:r>
          </w:p>
        </w:tc>
      </w:tr>
      <w:tr w14:paraId="56253A1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22F742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BDF2E2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7A2F526">
            <w:pPr>
              <w:widowControl/>
              <w:rPr>
                <w:rFonts w:ascii="仿宋_GB2312" w:hAnsi="宋体" w:eastAsia="仿宋_GB2312" w:cs="宋体"/>
                <w:kern w:val="0"/>
                <w:sz w:val="24"/>
              </w:rPr>
            </w:pPr>
            <w:r>
              <w:rPr>
                <w:rFonts w:hint="eastAsia" w:ascii="仿宋_GB2312" w:hAnsi="宋体" w:eastAsia="仿宋_GB2312" w:cs="宋体"/>
                <w:kern w:val="0"/>
                <w:sz w:val="24"/>
              </w:rPr>
              <w:t>　3</w:t>
            </w:r>
          </w:p>
        </w:tc>
      </w:tr>
      <w:tr w14:paraId="7901147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66E8E3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75BA1A3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C09D481">
            <w:pPr>
              <w:widowControl/>
              <w:rPr>
                <w:rFonts w:ascii="仿宋_GB2312" w:hAnsi="宋体" w:eastAsia="仿宋_GB2312" w:cs="宋体"/>
                <w:kern w:val="0"/>
                <w:sz w:val="24"/>
              </w:rPr>
            </w:pPr>
            <w:r>
              <w:rPr>
                <w:rFonts w:hint="eastAsia" w:ascii="仿宋_GB2312" w:hAnsi="宋体" w:eastAsia="仿宋_GB2312" w:cs="宋体"/>
                <w:kern w:val="0"/>
                <w:sz w:val="24"/>
              </w:rPr>
              <w:t>　4</w:t>
            </w:r>
          </w:p>
        </w:tc>
      </w:tr>
      <w:tr w14:paraId="5C31AFD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038C8C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552B7E4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04B4E2E">
            <w:pPr>
              <w:widowControl/>
              <w:rPr>
                <w:rFonts w:ascii="仿宋_GB2312" w:hAnsi="宋体" w:eastAsia="仿宋_GB2312" w:cs="宋体"/>
                <w:kern w:val="0"/>
                <w:sz w:val="24"/>
              </w:rPr>
            </w:pPr>
            <w:r>
              <w:rPr>
                <w:rFonts w:hint="eastAsia" w:ascii="仿宋_GB2312" w:hAnsi="宋体" w:eastAsia="仿宋_GB2312" w:cs="宋体"/>
                <w:kern w:val="0"/>
                <w:sz w:val="24"/>
              </w:rPr>
              <w:t>　3</w:t>
            </w:r>
          </w:p>
        </w:tc>
      </w:tr>
      <w:tr w14:paraId="68ED7EB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8F7A38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5C232BA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4829FB0">
            <w:pPr>
              <w:widowControl/>
              <w:rPr>
                <w:rFonts w:ascii="仿宋_GB2312" w:hAnsi="宋体" w:eastAsia="仿宋_GB2312" w:cs="宋体"/>
                <w:kern w:val="0"/>
                <w:sz w:val="24"/>
              </w:rPr>
            </w:pPr>
            <w:r>
              <w:rPr>
                <w:rFonts w:hint="eastAsia" w:ascii="仿宋_GB2312" w:hAnsi="宋体" w:eastAsia="仿宋_GB2312" w:cs="宋体"/>
                <w:kern w:val="0"/>
                <w:sz w:val="24"/>
              </w:rPr>
              <w:t>　1</w:t>
            </w:r>
          </w:p>
        </w:tc>
      </w:tr>
      <w:tr w14:paraId="0DEC2D8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9768AF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53696DE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2E0A532">
            <w:pPr>
              <w:widowControl/>
              <w:rPr>
                <w:rFonts w:ascii="仿宋_GB2312" w:hAnsi="宋体" w:eastAsia="仿宋_GB2312" w:cs="宋体"/>
                <w:kern w:val="0"/>
                <w:sz w:val="24"/>
              </w:rPr>
            </w:pPr>
            <w:r>
              <w:rPr>
                <w:rFonts w:hint="eastAsia" w:ascii="仿宋_GB2312" w:hAnsi="宋体" w:eastAsia="仿宋_GB2312" w:cs="宋体"/>
                <w:kern w:val="0"/>
                <w:sz w:val="24"/>
              </w:rPr>
              <w:t>　4</w:t>
            </w:r>
          </w:p>
        </w:tc>
      </w:tr>
      <w:tr w14:paraId="573DA42E">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1798A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0FC0AC4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D62CA6B">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0BE8591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E3902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4B524C3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73CA3DCF">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58E9E84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7D1160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12B943F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1A103DE">
            <w:pPr>
              <w:widowControl/>
              <w:rPr>
                <w:rFonts w:ascii="仿宋_GB2312" w:hAnsi="宋体" w:eastAsia="仿宋_GB2312" w:cs="宋体"/>
                <w:kern w:val="0"/>
                <w:sz w:val="24"/>
              </w:rPr>
            </w:pPr>
            <w:r>
              <w:rPr>
                <w:rFonts w:hint="eastAsia" w:ascii="仿宋_GB2312" w:hAnsi="宋体" w:eastAsia="仿宋_GB2312" w:cs="宋体"/>
                <w:kern w:val="0"/>
                <w:sz w:val="24"/>
              </w:rPr>
              <w:t>　1</w:t>
            </w:r>
          </w:p>
        </w:tc>
      </w:tr>
      <w:tr w14:paraId="63AEE06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1F1B5C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1F12EE7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D6D05F5">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626B074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1A6FC23">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74DF08C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60A8C85">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2A9DAD6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1BDA810">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23AC1B4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5E50B90">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4C167FA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DA4932">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2F3F3F2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1E0A4F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39AA68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5E80189">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14:paraId="1719370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3A83FC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3B5E29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D293324">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14:paraId="1B1DBC2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29F458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4807DE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B34EFB9">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14:paraId="46801FC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BE182F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2E56C8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A56E2A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14:paraId="3B1F2E5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548164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9F8763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41236D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14:paraId="1C9D3EE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A8190FF">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15ECBAB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B9334D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14:paraId="15C75FF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A762F8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432695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AF5F3A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14:paraId="309F0C7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42F7F2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86EBEC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A33523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1DCF88AB">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E883315">
            <w:pPr>
              <w:widowControl/>
              <w:jc w:val="left"/>
              <w:rPr>
                <w:rFonts w:ascii="宋体" w:hAnsi="宋体" w:cs="宋体"/>
                <w:color w:val="000000"/>
                <w:kern w:val="0"/>
                <w:sz w:val="24"/>
              </w:rPr>
            </w:pPr>
            <w:r>
              <w:rPr>
                <w:rFonts w:hint="eastAsia" w:ascii="宋体" w:hAnsi="宋体" w:cs="宋体"/>
                <w:color w:val="000000"/>
                <w:kern w:val="0"/>
                <w:sz w:val="24"/>
              </w:rPr>
              <w:t>　1</w:t>
            </w:r>
          </w:p>
        </w:tc>
      </w:tr>
      <w:tr w14:paraId="3F1791F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76D9E8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14:paraId="696F433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069950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629FF0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406213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76FE202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95A4AD9">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597251F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31598A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4E647BC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918E06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186EDF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6E3FF7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57CFA3BE">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1047E87">
            <w:pPr>
              <w:widowControl/>
              <w:jc w:val="left"/>
              <w:rPr>
                <w:rFonts w:ascii="宋体" w:hAnsi="宋体" w:cs="宋体"/>
                <w:color w:val="000000"/>
                <w:kern w:val="0"/>
                <w:sz w:val="24"/>
              </w:rPr>
            </w:pPr>
            <w:r>
              <w:rPr>
                <w:rFonts w:hint="eastAsia" w:ascii="宋体" w:hAnsi="宋体" w:cs="宋体"/>
                <w:color w:val="000000"/>
                <w:kern w:val="0"/>
                <w:sz w:val="24"/>
              </w:rPr>
              <w:t>　0</w:t>
            </w:r>
          </w:p>
        </w:tc>
      </w:tr>
      <w:tr w14:paraId="39F1784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1B7727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14:paraId="59BFE73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E52A3C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3B101C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80E417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69B8067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D2E761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AA70B5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F35027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2096242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DE5899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33D190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22B71A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3A59CD84">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246829A">
            <w:pPr>
              <w:widowControl/>
              <w:jc w:val="left"/>
              <w:rPr>
                <w:rFonts w:ascii="宋体" w:hAnsi="宋体" w:cs="宋体"/>
                <w:color w:val="000000"/>
                <w:kern w:val="0"/>
                <w:sz w:val="24"/>
              </w:rPr>
            </w:pPr>
            <w:r>
              <w:rPr>
                <w:rFonts w:hint="eastAsia" w:ascii="宋体" w:hAnsi="宋体" w:cs="宋体"/>
                <w:color w:val="000000"/>
                <w:kern w:val="0"/>
                <w:sz w:val="24"/>
              </w:rPr>
              <w:t>　0</w:t>
            </w:r>
          </w:p>
        </w:tc>
      </w:tr>
      <w:tr w14:paraId="110C721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76A6CF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14:paraId="55FBAD25">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1DC5A1B3">
            <w:pPr>
              <w:widowControl/>
              <w:jc w:val="left"/>
              <w:rPr>
                <w:rFonts w:ascii="宋体" w:hAnsi="宋体" w:cs="宋体"/>
                <w:color w:val="000000"/>
                <w:kern w:val="0"/>
                <w:sz w:val="24"/>
              </w:rPr>
            </w:pPr>
            <w:r>
              <w:rPr>
                <w:rFonts w:hint="eastAsia" w:ascii="宋体" w:hAnsi="宋体" w:cs="宋体"/>
                <w:color w:val="000000"/>
                <w:kern w:val="0"/>
                <w:sz w:val="24"/>
              </w:rPr>
              <w:t>　0</w:t>
            </w:r>
          </w:p>
        </w:tc>
      </w:tr>
      <w:tr w14:paraId="6E692FC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01BBD90">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66401DA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342B178">
            <w:pPr>
              <w:widowControl/>
              <w:jc w:val="left"/>
              <w:rPr>
                <w:rFonts w:ascii="宋体" w:hAnsi="宋体" w:cs="宋体"/>
                <w:color w:val="000000"/>
                <w:kern w:val="0"/>
                <w:sz w:val="24"/>
              </w:rPr>
            </w:pPr>
          </w:p>
        </w:tc>
      </w:tr>
      <w:tr w14:paraId="4349E24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CFE86D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14:paraId="3A0CD4A3">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51FB0D4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9EDE20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8BE837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14:paraId="7225A259">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43075D61">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1291479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AFAC1E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6C0A5C57">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10A94AD3">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58B6D9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CD0D45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60EE4D30">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5C65F8A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094150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983167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467DD9D7">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3C37FB91">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5406F8EC">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62A086">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53DB5E3F">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506305B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1F4066A">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EFD305">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single" w:color="auto" w:sz="4" w:space="0"/>
              <w:left w:val="nil"/>
              <w:bottom w:val="single" w:color="auto" w:sz="4" w:space="0"/>
              <w:right w:val="single" w:color="auto" w:sz="4" w:space="0"/>
              <w:tr2bl w:val="single" w:color="auto" w:sz="4" w:space="0"/>
            </w:tcBorders>
            <w:shd w:val="clear" w:color="auto" w:fill="auto"/>
            <w:noWrap/>
            <w:vAlign w:val="center"/>
          </w:tcPr>
          <w:p w14:paraId="676E938E">
            <w:pPr>
              <w:widowControl/>
              <w:jc w:val="center"/>
              <w:rPr>
                <w:rFonts w:ascii="宋体" w:hAnsi="宋体" w:cs="宋体"/>
                <w:color w:val="000000"/>
                <w:kern w:val="0"/>
                <w:sz w:val="24"/>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C761903">
            <w:pPr>
              <w:widowControl/>
              <w:jc w:val="left"/>
              <w:rPr>
                <w:rFonts w:ascii="宋体" w:hAnsi="宋体" w:cs="宋体"/>
                <w:color w:val="000000"/>
                <w:kern w:val="0"/>
                <w:sz w:val="24"/>
              </w:rPr>
            </w:pPr>
            <w:r>
              <w:rPr>
                <w:rFonts w:hint="eastAsia" w:ascii="宋体" w:hAnsi="宋体" w:cs="宋体"/>
                <w:color w:val="000000"/>
                <w:kern w:val="0"/>
                <w:sz w:val="24"/>
              </w:rPr>
              <w:t>　</w:t>
            </w:r>
          </w:p>
        </w:tc>
      </w:tr>
      <w:tr w14:paraId="066235F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B7089E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14:paraId="235F06E6">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8290FA4">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168D1D6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740C32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14:paraId="312AA34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20FE4E8">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02EC3CE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14:paraId="6BC8C6F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14:paraId="296BFFCB">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674B1EA7">
            <w:pPr>
              <w:widowControl/>
              <w:jc w:val="left"/>
              <w:rPr>
                <w:rFonts w:ascii="仿宋_GB2312" w:hAnsi="宋体" w:eastAsia="仿宋_GB2312" w:cs="宋体"/>
                <w:kern w:val="0"/>
                <w:sz w:val="24"/>
              </w:rPr>
            </w:pPr>
            <w:r>
              <w:rPr>
                <w:rFonts w:hint="eastAsia" w:ascii="仿宋_GB2312" w:hAnsi="宋体" w:eastAsia="仿宋_GB2312" w:cs="宋体"/>
                <w:kern w:val="0"/>
                <w:sz w:val="24"/>
              </w:rPr>
              <w:t>　117</w:t>
            </w:r>
          </w:p>
        </w:tc>
      </w:tr>
    </w:tbl>
    <w:p w14:paraId="0242D0B0">
      <w:pPr>
        <w:widowControl/>
        <w:spacing w:line="500" w:lineRule="exact"/>
        <w:ind w:firstLine="566" w:firstLineChars="236"/>
        <w:jc w:val="left"/>
        <w:rPr>
          <w:rFonts w:ascii="宋体" w:hAnsi="宋体" w:eastAsia="宋体" w:cs="宋体"/>
          <w:kern w:val="0"/>
          <w:sz w:val="24"/>
          <w:szCs w:val="24"/>
        </w:rPr>
      </w:pPr>
    </w:p>
    <w:p w14:paraId="2715B9DE">
      <w:pPr>
        <w:widowControl/>
        <w:spacing w:line="500" w:lineRule="exact"/>
        <w:ind w:firstLine="566" w:firstLineChars="236"/>
        <w:jc w:val="left"/>
        <w:rPr>
          <w:rFonts w:ascii="宋体" w:hAnsi="宋体" w:eastAsia="宋体" w:cs="宋体"/>
          <w:kern w:val="0"/>
          <w:sz w:val="24"/>
          <w:szCs w:val="24"/>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C16BB9-3D9E-48D5-BE84-9245C6704D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9E6433-8593-4A9D-9B63-224DE6F0C073}"/>
  </w:font>
  <w:font w:name="方正小标宋简体">
    <w:panose1 w:val="02000000000000000000"/>
    <w:charset w:val="86"/>
    <w:family w:val="auto"/>
    <w:pitch w:val="default"/>
    <w:sig w:usb0="00000001" w:usb1="08000000" w:usb2="00000000" w:usb3="00000000" w:csb0="00040000" w:csb1="00000000"/>
    <w:embedRegular r:id="rId3" w:fontKey="{AE8BC642-9C7E-4966-B748-F5CBB2485F15}"/>
  </w:font>
  <w:font w:name="汉仪大宋简">
    <w:altName w:val="Arial"/>
    <w:panose1 w:val="00000000000000000000"/>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4" w:fontKey="{F9ECA72E-81C1-44A9-9B83-7A4FD4C9C21E}"/>
  </w:font>
  <w:font w:name="楷体_GB2312">
    <w:altName w:val="楷体"/>
    <w:panose1 w:val="02010609030101010101"/>
    <w:charset w:val="86"/>
    <w:family w:val="modern"/>
    <w:pitch w:val="default"/>
    <w:sig w:usb0="00000000" w:usb1="00000000" w:usb2="00000010" w:usb3="00000000" w:csb0="00040000" w:csb1="00000000"/>
    <w:embedRegular r:id="rId5" w:fontKey="{1E557CD2-95DD-4CAA-B3ED-6D686C87BB7A}"/>
  </w:font>
  <w:font w:name="仿宋_GB2312">
    <w:panose1 w:val="02010609030101010101"/>
    <w:charset w:val="86"/>
    <w:family w:val="modern"/>
    <w:pitch w:val="default"/>
    <w:sig w:usb0="00000001" w:usb1="080E0000" w:usb2="00000000" w:usb3="00000000" w:csb0="00040000" w:csb1="00000000"/>
    <w:embedRegular r:id="rId6" w:fontKey="{0C4107D3-B827-4E46-A996-574383D19E83}"/>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963676"/>
      <w:docPartObj>
        <w:docPartGallery w:val="AutoText"/>
      </w:docPartObj>
    </w:sdtPr>
    <w:sdtContent>
      <w:p w14:paraId="3C0D15EC">
        <w:pPr>
          <w:pStyle w:val="5"/>
          <w:jc w:val="center"/>
        </w:pPr>
        <w:r>
          <w:fldChar w:fldCharType="begin"/>
        </w:r>
        <w:r>
          <w:instrText xml:space="preserve">PAGE   \* MERGEFORMAT</w:instrText>
        </w:r>
        <w:r>
          <w:fldChar w:fldCharType="separate"/>
        </w:r>
        <w:r>
          <w:rPr>
            <w:lang w:val="zh-CN"/>
          </w:rPr>
          <w:t>8</w:t>
        </w:r>
        <w:r>
          <w:fldChar w:fldCharType="end"/>
        </w:r>
      </w:p>
    </w:sdtContent>
  </w:sdt>
  <w:p w14:paraId="4F3DDFC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D6"/>
    <w:rsid w:val="00003735"/>
    <w:rsid w:val="00003803"/>
    <w:rsid w:val="000106D5"/>
    <w:rsid w:val="000111BC"/>
    <w:rsid w:val="0001463C"/>
    <w:rsid w:val="00023D56"/>
    <w:rsid w:val="00026097"/>
    <w:rsid w:val="0002766F"/>
    <w:rsid w:val="000420A0"/>
    <w:rsid w:val="00050640"/>
    <w:rsid w:val="000531C0"/>
    <w:rsid w:val="00053E0C"/>
    <w:rsid w:val="00072311"/>
    <w:rsid w:val="00083088"/>
    <w:rsid w:val="00094182"/>
    <w:rsid w:val="000A0E00"/>
    <w:rsid w:val="000A0E3F"/>
    <w:rsid w:val="000A5030"/>
    <w:rsid w:val="000A6784"/>
    <w:rsid w:val="000B0F44"/>
    <w:rsid w:val="000C0A47"/>
    <w:rsid w:val="000C1FCB"/>
    <w:rsid w:val="000C3F5E"/>
    <w:rsid w:val="000D3271"/>
    <w:rsid w:val="000F055A"/>
    <w:rsid w:val="000F0EE0"/>
    <w:rsid w:val="000F24D7"/>
    <w:rsid w:val="0010090D"/>
    <w:rsid w:val="00105EEA"/>
    <w:rsid w:val="00125E6A"/>
    <w:rsid w:val="001336D5"/>
    <w:rsid w:val="001438E6"/>
    <w:rsid w:val="001439BD"/>
    <w:rsid w:val="0015162D"/>
    <w:rsid w:val="00152F47"/>
    <w:rsid w:val="001634DD"/>
    <w:rsid w:val="00167963"/>
    <w:rsid w:val="00167E72"/>
    <w:rsid w:val="001701BA"/>
    <w:rsid w:val="00171828"/>
    <w:rsid w:val="00172A42"/>
    <w:rsid w:val="00174E47"/>
    <w:rsid w:val="00177D0D"/>
    <w:rsid w:val="001866AB"/>
    <w:rsid w:val="001927AB"/>
    <w:rsid w:val="0019358D"/>
    <w:rsid w:val="001968A9"/>
    <w:rsid w:val="001A083F"/>
    <w:rsid w:val="001A1232"/>
    <w:rsid w:val="001A13F8"/>
    <w:rsid w:val="001B08F3"/>
    <w:rsid w:val="001B1B2B"/>
    <w:rsid w:val="001B6E7D"/>
    <w:rsid w:val="001D2DC5"/>
    <w:rsid w:val="001D7B44"/>
    <w:rsid w:val="001E0CD1"/>
    <w:rsid w:val="001E3CBB"/>
    <w:rsid w:val="001E7DD2"/>
    <w:rsid w:val="001F1FE2"/>
    <w:rsid w:val="001F5818"/>
    <w:rsid w:val="0020310D"/>
    <w:rsid w:val="00210462"/>
    <w:rsid w:val="00211886"/>
    <w:rsid w:val="002138EF"/>
    <w:rsid w:val="0023505A"/>
    <w:rsid w:val="0024621A"/>
    <w:rsid w:val="002470CD"/>
    <w:rsid w:val="00251EE5"/>
    <w:rsid w:val="00252DA5"/>
    <w:rsid w:val="00256AC2"/>
    <w:rsid w:val="0027011A"/>
    <w:rsid w:val="00272520"/>
    <w:rsid w:val="00272971"/>
    <w:rsid w:val="00284493"/>
    <w:rsid w:val="00290AA6"/>
    <w:rsid w:val="002A2658"/>
    <w:rsid w:val="002B03A3"/>
    <w:rsid w:val="002B7730"/>
    <w:rsid w:val="002B7EE0"/>
    <w:rsid w:val="002B7F11"/>
    <w:rsid w:val="002C02CF"/>
    <w:rsid w:val="002D741B"/>
    <w:rsid w:val="002E5067"/>
    <w:rsid w:val="002F2116"/>
    <w:rsid w:val="002F412D"/>
    <w:rsid w:val="00302270"/>
    <w:rsid w:val="00304F74"/>
    <w:rsid w:val="0031018D"/>
    <w:rsid w:val="00327C86"/>
    <w:rsid w:val="003303EE"/>
    <w:rsid w:val="0033153A"/>
    <w:rsid w:val="0033733B"/>
    <w:rsid w:val="0035336F"/>
    <w:rsid w:val="00357497"/>
    <w:rsid w:val="00357604"/>
    <w:rsid w:val="00357D98"/>
    <w:rsid w:val="003634F9"/>
    <w:rsid w:val="003653BB"/>
    <w:rsid w:val="0038426D"/>
    <w:rsid w:val="00391448"/>
    <w:rsid w:val="003A3A83"/>
    <w:rsid w:val="003A4CD0"/>
    <w:rsid w:val="003A582C"/>
    <w:rsid w:val="003B4B85"/>
    <w:rsid w:val="003B75C1"/>
    <w:rsid w:val="003C0750"/>
    <w:rsid w:val="003C6268"/>
    <w:rsid w:val="003D62D5"/>
    <w:rsid w:val="003E3A06"/>
    <w:rsid w:val="003F0806"/>
    <w:rsid w:val="003F2697"/>
    <w:rsid w:val="003F7D32"/>
    <w:rsid w:val="0040024A"/>
    <w:rsid w:val="004035AE"/>
    <w:rsid w:val="004045BB"/>
    <w:rsid w:val="0040658A"/>
    <w:rsid w:val="004111C2"/>
    <w:rsid w:val="00415B89"/>
    <w:rsid w:val="0042376C"/>
    <w:rsid w:val="004318FC"/>
    <w:rsid w:val="0043425A"/>
    <w:rsid w:val="004368B0"/>
    <w:rsid w:val="00436FDB"/>
    <w:rsid w:val="00441CCF"/>
    <w:rsid w:val="00442F66"/>
    <w:rsid w:val="00470C86"/>
    <w:rsid w:val="004760B1"/>
    <w:rsid w:val="004824FA"/>
    <w:rsid w:val="00496904"/>
    <w:rsid w:val="004A646E"/>
    <w:rsid w:val="004A755D"/>
    <w:rsid w:val="004C5A45"/>
    <w:rsid w:val="004D103C"/>
    <w:rsid w:val="004D3280"/>
    <w:rsid w:val="004D52F6"/>
    <w:rsid w:val="004E2724"/>
    <w:rsid w:val="004E4464"/>
    <w:rsid w:val="004E5364"/>
    <w:rsid w:val="004E707F"/>
    <w:rsid w:val="004E7CE9"/>
    <w:rsid w:val="004F0D2F"/>
    <w:rsid w:val="005347C7"/>
    <w:rsid w:val="00536FEE"/>
    <w:rsid w:val="00543B2F"/>
    <w:rsid w:val="00550E72"/>
    <w:rsid w:val="00561112"/>
    <w:rsid w:val="0056127B"/>
    <w:rsid w:val="0056479C"/>
    <w:rsid w:val="00564A74"/>
    <w:rsid w:val="00566E18"/>
    <w:rsid w:val="00576E48"/>
    <w:rsid w:val="0058524B"/>
    <w:rsid w:val="005928A6"/>
    <w:rsid w:val="00594199"/>
    <w:rsid w:val="005A15BE"/>
    <w:rsid w:val="005A6678"/>
    <w:rsid w:val="005A69BE"/>
    <w:rsid w:val="005A7D75"/>
    <w:rsid w:val="005B2113"/>
    <w:rsid w:val="005B7034"/>
    <w:rsid w:val="005B77F2"/>
    <w:rsid w:val="005D53E2"/>
    <w:rsid w:val="005E2F72"/>
    <w:rsid w:val="005F6DFE"/>
    <w:rsid w:val="00624B8D"/>
    <w:rsid w:val="0062603B"/>
    <w:rsid w:val="00634BAF"/>
    <w:rsid w:val="00634CAE"/>
    <w:rsid w:val="00635AA3"/>
    <w:rsid w:val="00636A2D"/>
    <w:rsid w:val="00644ED2"/>
    <w:rsid w:val="00646A02"/>
    <w:rsid w:val="0064779B"/>
    <w:rsid w:val="0065451B"/>
    <w:rsid w:val="006561C6"/>
    <w:rsid w:val="00657FD7"/>
    <w:rsid w:val="0067247B"/>
    <w:rsid w:val="0067619F"/>
    <w:rsid w:val="00676DFA"/>
    <w:rsid w:val="00681887"/>
    <w:rsid w:val="00681DD1"/>
    <w:rsid w:val="00682047"/>
    <w:rsid w:val="00684509"/>
    <w:rsid w:val="00693543"/>
    <w:rsid w:val="006971D9"/>
    <w:rsid w:val="006A5EE4"/>
    <w:rsid w:val="006B28C5"/>
    <w:rsid w:val="006B2A9C"/>
    <w:rsid w:val="006B2C1E"/>
    <w:rsid w:val="006C6C9D"/>
    <w:rsid w:val="006D0A50"/>
    <w:rsid w:val="006D2E28"/>
    <w:rsid w:val="006D4716"/>
    <w:rsid w:val="006E0671"/>
    <w:rsid w:val="006F6D21"/>
    <w:rsid w:val="006F77AD"/>
    <w:rsid w:val="007076C5"/>
    <w:rsid w:val="00714923"/>
    <w:rsid w:val="0072605E"/>
    <w:rsid w:val="00732D51"/>
    <w:rsid w:val="00737489"/>
    <w:rsid w:val="00737899"/>
    <w:rsid w:val="00744905"/>
    <w:rsid w:val="007533BB"/>
    <w:rsid w:val="00764433"/>
    <w:rsid w:val="00764ECA"/>
    <w:rsid w:val="007650F1"/>
    <w:rsid w:val="00770E8B"/>
    <w:rsid w:val="007721F0"/>
    <w:rsid w:val="00772F28"/>
    <w:rsid w:val="00783F59"/>
    <w:rsid w:val="007A34FF"/>
    <w:rsid w:val="007A4CC4"/>
    <w:rsid w:val="007B29FB"/>
    <w:rsid w:val="007B57E6"/>
    <w:rsid w:val="007B6660"/>
    <w:rsid w:val="007D4FFC"/>
    <w:rsid w:val="007D5A7D"/>
    <w:rsid w:val="007D621B"/>
    <w:rsid w:val="007D7B8F"/>
    <w:rsid w:val="007E3417"/>
    <w:rsid w:val="007E7B79"/>
    <w:rsid w:val="007F2161"/>
    <w:rsid w:val="007F4F88"/>
    <w:rsid w:val="007F6F1F"/>
    <w:rsid w:val="007F7FFE"/>
    <w:rsid w:val="00800D4F"/>
    <w:rsid w:val="00821235"/>
    <w:rsid w:val="0082213E"/>
    <w:rsid w:val="00824D02"/>
    <w:rsid w:val="00830851"/>
    <w:rsid w:val="00835323"/>
    <w:rsid w:val="00836C4B"/>
    <w:rsid w:val="00843564"/>
    <w:rsid w:val="008753A7"/>
    <w:rsid w:val="00876F9B"/>
    <w:rsid w:val="00882F0D"/>
    <w:rsid w:val="00885C93"/>
    <w:rsid w:val="008947B4"/>
    <w:rsid w:val="00895A65"/>
    <w:rsid w:val="008A3D59"/>
    <w:rsid w:val="008A44D3"/>
    <w:rsid w:val="008B03DC"/>
    <w:rsid w:val="008B1660"/>
    <w:rsid w:val="008B654C"/>
    <w:rsid w:val="008C1857"/>
    <w:rsid w:val="008D57EF"/>
    <w:rsid w:val="008E0A53"/>
    <w:rsid w:val="008F0F0D"/>
    <w:rsid w:val="008F547E"/>
    <w:rsid w:val="009057D2"/>
    <w:rsid w:val="00907980"/>
    <w:rsid w:val="00907A75"/>
    <w:rsid w:val="00913FC6"/>
    <w:rsid w:val="009169D9"/>
    <w:rsid w:val="00916E4D"/>
    <w:rsid w:val="0092668A"/>
    <w:rsid w:val="0094019B"/>
    <w:rsid w:val="009413C7"/>
    <w:rsid w:val="00941487"/>
    <w:rsid w:val="00943163"/>
    <w:rsid w:val="00952534"/>
    <w:rsid w:val="009557D5"/>
    <w:rsid w:val="00957C15"/>
    <w:rsid w:val="00965A99"/>
    <w:rsid w:val="00965FD2"/>
    <w:rsid w:val="009725F7"/>
    <w:rsid w:val="00977E73"/>
    <w:rsid w:val="00981DC4"/>
    <w:rsid w:val="009821CE"/>
    <w:rsid w:val="00983AB5"/>
    <w:rsid w:val="009848C9"/>
    <w:rsid w:val="009943B0"/>
    <w:rsid w:val="00994E9F"/>
    <w:rsid w:val="0099794B"/>
    <w:rsid w:val="00997B65"/>
    <w:rsid w:val="009B0552"/>
    <w:rsid w:val="009B35CB"/>
    <w:rsid w:val="009D1847"/>
    <w:rsid w:val="009E2E6E"/>
    <w:rsid w:val="009E59F8"/>
    <w:rsid w:val="009F4270"/>
    <w:rsid w:val="00A1137A"/>
    <w:rsid w:val="00A20DF9"/>
    <w:rsid w:val="00A261AC"/>
    <w:rsid w:val="00A27AB3"/>
    <w:rsid w:val="00A32B5A"/>
    <w:rsid w:val="00A417E5"/>
    <w:rsid w:val="00A43B19"/>
    <w:rsid w:val="00A52050"/>
    <w:rsid w:val="00A541BC"/>
    <w:rsid w:val="00A55A4E"/>
    <w:rsid w:val="00A630BF"/>
    <w:rsid w:val="00A659CD"/>
    <w:rsid w:val="00A6778F"/>
    <w:rsid w:val="00A67BAA"/>
    <w:rsid w:val="00A8164E"/>
    <w:rsid w:val="00A81DB3"/>
    <w:rsid w:val="00A82A6F"/>
    <w:rsid w:val="00A844B8"/>
    <w:rsid w:val="00A905AB"/>
    <w:rsid w:val="00AB3524"/>
    <w:rsid w:val="00AB7EEA"/>
    <w:rsid w:val="00AC6B61"/>
    <w:rsid w:val="00AD211B"/>
    <w:rsid w:val="00AD3EC5"/>
    <w:rsid w:val="00AD5DE1"/>
    <w:rsid w:val="00AE00F7"/>
    <w:rsid w:val="00AE1C4A"/>
    <w:rsid w:val="00AF67AD"/>
    <w:rsid w:val="00AF6DAB"/>
    <w:rsid w:val="00AF74F5"/>
    <w:rsid w:val="00B0571B"/>
    <w:rsid w:val="00B07D6C"/>
    <w:rsid w:val="00B22080"/>
    <w:rsid w:val="00B23F97"/>
    <w:rsid w:val="00B3144F"/>
    <w:rsid w:val="00B40F31"/>
    <w:rsid w:val="00B42AEA"/>
    <w:rsid w:val="00B45F9E"/>
    <w:rsid w:val="00B46D99"/>
    <w:rsid w:val="00B555EE"/>
    <w:rsid w:val="00B70BE1"/>
    <w:rsid w:val="00B839A4"/>
    <w:rsid w:val="00B93F7B"/>
    <w:rsid w:val="00BA0BD6"/>
    <w:rsid w:val="00BA4900"/>
    <w:rsid w:val="00BB3AFF"/>
    <w:rsid w:val="00BB5046"/>
    <w:rsid w:val="00BC6269"/>
    <w:rsid w:val="00BD1183"/>
    <w:rsid w:val="00BE2665"/>
    <w:rsid w:val="00BE6A55"/>
    <w:rsid w:val="00BF099D"/>
    <w:rsid w:val="00BF638D"/>
    <w:rsid w:val="00C00568"/>
    <w:rsid w:val="00C041F2"/>
    <w:rsid w:val="00C04929"/>
    <w:rsid w:val="00C05014"/>
    <w:rsid w:val="00C10266"/>
    <w:rsid w:val="00C11755"/>
    <w:rsid w:val="00C13D25"/>
    <w:rsid w:val="00C159AC"/>
    <w:rsid w:val="00C16E33"/>
    <w:rsid w:val="00C22854"/>
    <w:rsid w:val="00C24FA5"/>
    <w:rsid w:val="00C251C4"/>
    <w:rsid w:val="00C3694B"/>
    <w:rsid w:val="00C50BC9"/>
    <w:rsid w:val="00C50E04"/>
    <w:rsid w:val="00C5763F"/>
    <w:rsid w:val="00C600A6"/>
    <w:rsid w:val="00C71B2D"/>
    <w:rsid w:val="00C71F19"/>
    <w:rsid w:val="00C77EE3"/>
    <w:rsid w:val="00C8784D"/>
    <w:rsid w:val="00CA3A0A"/>
    <w:rsid w:val="00CA4D50"/>
    <w:rsid w:val="00CB4E86"/>
    <w:rsid w:val="00CB598A"/>
    <w:rsid w:val="00CD3198"/>
    <w:rsid w:val="00CD31CB"/>
    <w:rsid w:val="00CD33B2"/>
    <w:rsid w:val="00CF51F6"/>
    <w:rsid w:val="00D0250A"/>
    <w:rsid w:val="00D22E80"/>
    <w:rsid w:val="00D2574D"/>
    <w:rsid w:val="00D30C7C"/>
    <w:rsid w:val="00D32A41"/>
    <w:rsid w:val="00D33AEB"/>
    <w:rsid w:val="00D426B3"/>
    <w:rsid w:val="00D428A7"/>
    <w:rsid w:val="00D51E43"/>
    <w:rsid w:val="00D56520"/>
    <w:rsid w:val="00D62A6E"/>
    <w:rsid w:val="00D63F0B"/>
    <w:rsid w:val="00D74D4D"/>
    <w:rsid w:val="00D814F7"/>
    <w:rsid w:val="00D81DE9"/>
    <w:rsid w:val="00D86B92"/>
    <w:rsid w:val="00D91DF7"/>
    <w:rsid w:val="00D92C76"/>
    <w:rsid w:val="00D949B1"/>
    <w:rsid w:val="00D97CEB"/>
    <w:rsid w:val="00DA4446"/>
    <w:rsid w:val="00DB28C9"/>
    <w:rsid w:val="00DC7D22"/>
    <w:rsid w:val="00DE0079"/>
    <w:rsid w:val="00DE2658"/>
    <w:rsid w:val="00DE3A16"/>
    <w:rsid w:val="00DE7DF1"/>
    <w:rsid w:val="00DF3CE7"/>
    <w:rsid w:val="00DF43B2"/>
    <w:rsid w:val="00E07672"/>
    <w:rsid w:val="00E15968"/>
    <w:rsid w:val="00E2031A"/>
    <w:rsid w:val="00E42E68"/>
    <w:rsid w:val="00E44547"/>
    <w:rsid w:val="00E46B74"/>
    <w:rsid w:val="00E5252E"/>
    <w:rsid w:val="00E87CBA"/>
    <w:rsid w:val="00E906BD"/>
    <w:rsid w:val="00EA0C0B"/>
    <w:rsid w:val="00EA3004"/>
    <w:rsid w:val="00EC07FD"/>
    <w:rsid w:val="00EC0EDD"/>
    <w:rsid w:val="00ED3C76"/>
    <w:rsid w:val="00EE3AEA"/>
    <w:rsid w:val="00EE7136"/>
    <w:rsid w:val="00EF06EE"/>
    <w:rsid w:val="00EF538B"/>
    <w:rsid w:val="00F002D1"/>
    <w:rsid w:val="00F04556"/>
    <w:rsid w:val="00F071B1"/>
    <w:rsid w:val="00F22011"/>
    <w:rsid w:val="00F22FB7"/>
    <w:rsid w:val="00F3430B"/>
    <w:rsid w:val="00F44C3B"/>
    <w:rsid w:val="00F50EF0"/>
    <w:rsid w:val="00F80D53"/>
    <w:rsid w:val="00F81D46"/>
    <w:rsid w:val="00F8534F"/>
    <w:rsid w:val="00F9273B"/>
    <w:rsid w:val="00FA04C4"/>
    <w:rsid w:val="00FA2CF0"/>
    <w:rsid w:val="00FB1636"/>
    <w:rsid w:val="00FB48FE"/>
    <w:rsid w:val="00FD0BC3"/>
    <w:rsid w:val="00FD271A"/>
    <w:rsid w:val="00FE38F8"/>
    <w:rsid w:val="00FE50A7"/>
    <w:rsid w:val="00FE5E35"/>
    <w:rsid w:val="00FF6EB7"/>
    <w:rsid w:val="5E97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semiHidden/>
    <w:unhideWhenUsed/>
    <w:uiPriority w:val="99"/>
    <w:rPr>
      <w:rFonts w:ascii="宋体" w:eastAsia="宋体"/>
      <w:sz w:val="18"/>
      <w:szCs w:val="18"/>
    </w:rPr>
  </w:style>
  <w:style w:type="paragraph" w:styleId="3">
    <w:name w:val="Body Text"/>
    <w:basedOn w:val="1"/>
    <w:link w:val="11"/>
    <w:uiPriority w:val="0"/>
    <w:pPr>
      <w:suppressAutoHyphens/>
      <w:jc w:val="center"/>
    </w:pPr>
    <w:rPr>
      <w:rFonts w:ascii="方正小标宋简体" w:hAnsi="汉仪大宋简" w:eastAsia="方正小标宋简体" w:cs="Times New Roman"/>
      <w:color w:val="000000"/>
      <w:kern w:val="0"/>
      <w:sz w:val="44"/>
      <w:szCs w:val="20"/>
    </w:rPr>
  </w:style>
  <w:style w:type="paragraph" w:styleId="4">
    <w:name w:val="Date"/>
    <w:basedOn w:val="1"/>
    <w:next w:val="1"/>
    <w:link w:val="14"/>
    <w:semiHidden/>
    <w:unhideWhenUsed/>
    <w:qFormat/>
    <w:uiPriority w:val="99"/>
    <w:pPr>
      <w:ind w:left="100" w:leftChars="2500"/>
    </w:p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3"/>
    <w:qFormat/>
    <w:uiPriority w:val="0"/>
    <w:rPr>
      <w:rFonts w:ascii="方正小标宋简体" w:hAnsi="汉仪大宋简" w:eastAsia="方正小标宋简体" w:cs="Times New Roman"/>
      <w:color w:val="000000"/>
      <w:kern w:val="0"/>
      <w:sz w:val="44"/>
      <w:szCs w:val="20"/>
      <w:lang w:eastAsia="zh-CN"/>
    </w:rPr>
  </w:style>
  <w:style w:type="paragraph" w:customStyle="1" w:styleId="12">
    <w:name w:val="Char Char Char1 Char"/>
    <w:basedOn w:val="2"/>
    <w:uiPriority w:val="0"/>
    <w:pPr>
      <w:adjustRightInd w:val="0"/>
      <w:spacing w:line="436" w:lineRule="exact"/>
      <w:ind w:left="357"/>
      <w:jc w:val="left"/>
      <w:outlineLvl w:val="3"/>
    </w:pPr>
    <w:rPr>
      <w:rFonts w:ascii="Tahoma" w:hAnsi="Tahoma" w:cs="Times New Roman"/>
      <w:b/>
      <w:sz w:val="24"/>
      <w:szCs w:val="20"/>
    </w:rPr>
  </w:style>
  <w:style w:type="character" w:customStyle="1" w:styleId="13">
    <w:name w:val="文档结构图 Char"/>
    <w:basedOn w:val="8"/>
    <w:link w:val="2"/>
    <w:semiHidden/>
    <w:qFormat/>
    <w:uiPriority w:val="99"/>
    <w:rPr>
      <w:rFonts w:ascii="宋体" w:eastAsia="宋体"/>
      <w:sz w:val="18"/>
      <w:szCs w:val="18"/>
    </w:rPr>
  </w:style>
  <w:style w:type="character" w:customStyle="1" w:styleId="14">
    <w:name w:val="日期 Char"/>
    <w:basedOn w:val="8"/>
    <w:link w:val="4"/>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1573</Words>
  <Characters>1865</Characters>
  <Lines>31</Lines>
  <Paragraphs>8</Paragraphs>
  <TotalTime>1370</TotalTime>
  <ScaleCrop>false</ScaleCrop>
  <LinksUpToDate>false</LinksUpToDate>
  <CharactersWithSpaces>1865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2016-02-14T06:49:00Z</dcterms:created>
  <dc:creator>lenovo</dc:creator>
  <cp:lastModifiedBy> 祺</cp:lastModifiedBy>
  <cp:lastPrinted>2019-02-27T03:11:00Z</cp:lastPrinted>
  <dcterms:modified xsi:type="dcterms:W3CDTF">2025-03-24T07:55:20Z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1AE0A0ED1E424F02A1AB9DB97FD60204_12</vt:lpwstr>
  </property>
</Properties>
</file>