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A1BED">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bookmarkStart w:id="0" w:name="OLE_LINK3"/>
      <w:bookmarkStart w:id="1" w:name="OLE_LINK1"/>
      <w:bookmarkStart w:id="2" w:name="OLE_LINK2"/>
      <w:r>
        <w:rPr>
          <w:rFonts w:ascii="Times New Roman" w:hAnsi="Times New Roman" w:cs="Times New Roman"/>
          <w:color w:val="505050"/>
          <w:sz w:val="36"/>
          <w:szCs w:val="36"/>
        </w:rPr>
        <w:t> </w:t>
      </w:r>
    </w:p>
    <w:p w14:paraId="5230ED71">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r>
        <w:rPr>
          <w:rFonts w:hint="eastAsia" w:ascii="方正小标宋简体" w:hAnsi="Calibri" w:eastAsia="方正小标宋简体"/>
          <w:color w:val="505050"/>
          <w:sz w:val="44"/>
          <w:szCs w:val="44"/>
        </w:rPr>
        <w:t>北京市东城区园林绿化局</w:t>
      </w:r>
    </w:p>
    <w:p w14:paraId="7D35456B">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r>
        <w:rPr>
          <w:rFonts w:ascii="Times New Roman" w:hAnsi="Times New Roman" w:cs="Times New Roman"/>
          <w:color w:val="505050"/>
          <w:sz w:val="44"/>
          <w:szCs w:val="44"/>
        </w:rPr>
        <w:t>201</w:t>
      </w:r>
      <w:r>
        <w:rPr>
          <w:rFonts w:hint="eastAsia" w:ascii="Times New Roman" w:hAnsi="Times New Roman" w:cs="Times New Roman"/>
          <w:color w:val="505050"/>
          <w:sz w:val="44"/>
          <w:szCs w:val="44"/>
        </w:rPr>
        <w:t>8</w:t>
      </w:r>
      <w:r>
        <w:rPr>
          <w:rFonts w:hint="eastAsia" w:ascii="方正小标宋简体" w:hAnsi="Calibri" w:eastAsia="方正小标宋简体"/>
          <w:color w:val="505050"/>
          <w:sz w:val="44"/>
          <w:szCs w:val="44"/>
        </w:rPr>
        <w:t>年信息公开工作年度报告</w:t>
      </w:r>
    </w:p>
    <w:p w14:paraId="41F6D298">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r>
        <w:rPr>
          <w:rFonts w:ascii="Times New Roman" w:hAnsi="Times New Roman" w:cs="Times New Roman"/>
          <w:b/>
          <w:bCs/>
          <w:color w:val="505050"/>
          <w:sz w:val="44"/>
          <w:szCs w:val="44"/>
        </w:rPr>
        <w:t> </w:t>
      </w:r>
    </w:p>
    <w:p w14:paraId="1677D9C3">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r>
        <w:rPr>
          <w:rFonts w:ascii="Times New Roman" w:hAnsi="Times New Roman" w:cs="Times New Roman"/>
          <w:b/>
          <w:bCs/>
          <w:color w:val="505050"/>
          <w:sz w:val="44"/>
          <w:szCs w:val="44"/>
        </w:rPr>
        <w:t> </w:t>
      </w:r>
    </w:p>
    <w:p w14:paraId="069F18BD">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r>
        <w:rPr>
          <w:rFonts w:ascii="Times New Roman" w:hAnsi="Times New Roman" w:cs="Times New Roman"/>
          <w:b/>
          <w:bCs/>
          <w:color w:val="505050"/>
          <w:sz w:val="44"/>
          <w:szCs w:val="44"/>
        </w:rPr>
        <w:t> </w:t>
      </w:r>
    </w:p>
    <w:p w14:paraId="413FDDF4">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r>
        <w:rPr>
          <w:rFonts w:ascii="Times New Roman" w:hAnsi="Times New Roman" w:cs="Times New Roman"/>
          <w:b/>
          <w:bCs/>
          <w:color w:val="505050"/>
          <w:sz w:val="44"/>
          <w:szCs w:val="44"/>
        </w:rPr>
        <w:t> </w:t>
      </w:r>
    </w:p>
    <w:p w14:paraId="68B13826">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r>
        <w:rPr>
          <w:rFonts w:ascii="Times New Roman" w:hAnsi="Times New Roman" w:cs="Times New Roman"/>
          <w:b/>
          <w:bCs/>
          <w:color w:val="505050"/>
          <w:sz w:val="44"/>
          <w:szCs w:val="44"/>
        </w:rPr>
        <w:t> </w:t>
      </w:r>
    </w:p>
    <w:p w14:paraId="609C13ED">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r>
        <w:rPr>
          <w:rFonts w:ascii="Times New Roman" w:hAnsi="Times New Roman" w:cs="Times New Roman"/>
          <w:b/>
          <w:bCs/>
          <w:color w:val="505050"/>
          <w:sz w:val="44"/>
          <w:szCs w:val="44"/>
        </w:rPr>
        <w:t> </w:t>
      </w:r>
    </w:p>
    <w:p w14:paraId="6C498EE7">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r>
        <w:rPr>
          <w:rFonts w:ascii="Times New Roman" w:hAnsi="Times New Roman" w:cs="Times New Roman"/>
          <w:b/>
          <w:bCs/>
          <w:color w:val="505050"/>
          <w:sz w:val="44"/>
          <w:szCs w:val="44"/>
        </w:rPr>
        <w:t> </w:t>
      </w:r>
    </w:p>
    <w:p w14:paraId="09490471">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r>
        <w:rPr>
          <w:rFonts w:ascii="Times New Roman" w:hAnsi="Times New Roman" w:cs="Times New Roman"/>
          <w:b/>
          <w:bCs/>
          <w:color w:val="505050"/>
          <w:sz w:val="44"/>
          <w:szCs w:val="44"/>
        </w:rPr>
        <w:t> </w:t>
      </w:r>
    </w:p>
    <w:p w14:paraId="4BF2559D">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r>
        <w:rPr>
          <w:rFonts w:ascii="Times New Roman" w:hAnsi="Times New Roman" w:cs="Times New Roman"/>
          <w:b/>
          <w:bCs/>
          <w:color w:val="505050"/>
          <w:sz w:val="44"/>
          <w:szCs w:val="44"/>
        </w:rPr>
        <w:t> </w:t>
      </w:r>
    </w:p>
    <w:p w14:paraId="7891019B">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r>
        <w:rPr>
          <w:rFonts w:ascii="Times New Roman" w:hAnsi="Times New Roman" w:cs="Times New Roman"/>
          <w:b/>
          <w:bCs/>
          <w:color w:val="505050"/>
          <w:sz w:val="44"/>
          <w:szCs w:val="44"/>
        </w:rPr>
        <w:t> </w:t>
      </w:r>
    </w:p>
    <w:p w14:paraId="12C0F947">
      <w:pPr>
        <w:pStyle w:val="5"/>
        <w:shd w:val="clear" w:color="auto" w:fill="FFFFFF"/>
        <w:spacing w:before="0" w:beforeAutospacing="0" w:after="0" w:afterAutospacing="0" w:line="560" w:lineRule="atLeast"/>
        <w:ind w:firstLine="480"/>
        <w:jc w:val="both"/>
        <w:textAlignment w:val="baseline"/>
        <w:rPr>
          <w:rFonts w:ascii="Calibri" w:hAnsi="Calibri"/>
          <w:color w:val="505050"/>
          <w:sz w:val="21"/>
          <w:szCs w:val="21"/>
        </w:rPr>
      </w:pPr>
      <w:r>
        <w:rPr>
          <w:rFonts w:ascii="Times New Roman" w:hAnsi="Times New Roman" w:cs="Times New Roman"/>
          <w:b/>
          <w:bCs/>
          <w:color w:val="505050"/>
          <w:sz w:val="44"/>
          <w:szCs w:val="44"/>
        </w:rPr>
        <w:t> </w:t>
      </w:r>
    </w:p>
    <w:p w14:paraId="0FBAD821">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r>
        <w:rPr>
          <w:rFonts w:ascii="Times New Roman" w:hAnsi="Times New Roman" w:cs="Times New Roman"/>
          <w:b/>
          <w:bCs/>
          <w:color w:val="505050"/>
          <w:sz w:val="44"/>
          <w:szCs w:val="44"/>
        </w:rPr>
        <w:t> </w:t>
      </w:r>
    </w:p>
    <w:p w14:paraId="0F9F476A">
      <w:pPr>
        <w:pStyle w:val="5"/>
        <w:shd w:val="clear" w:color="auto" w:fill="FFFFFF"/>
        <w:spacing w:before="0" w:beforeAutospacing="0" w:after="0" w:afterAutospacing="0" w:line="560" w:lineRule="atLeast"/>
        <w:ind w:right="32" w:firstLine="480"/>
        <w:jc w:val="center"/>
        <w:textAlignment w:val="baseline"/>
        <w:rPr>
          <w:rFonts w:ascii="Calibri" w:hAnsi="Calibri"/>
          <w:color w:val="505050"/>
          <w:sz w:val="21"/>
          <w:szCs w:val="21"/>
        </w:rPr>
      </w:pPr>
      <w:r>
        <w:rPr>
          <w:rFonts w:hint="eastAsia" w:ascii="楷体" w:hAnsi="楷体" w:eastAsia="楷体"/>
          <w:color w:val="505050"/>
          <w:sz w:val="32"/>
          <w:szCs w:val="32"/>
        </w:rPr>
        <w:t>北京市东城区园林绿化局办公室</w:t>
      </w:r>
    </w:p>
    <w:p w14:paraId="624D6A68">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r>
        <w:rPr>
          <w:rFonts w:ascii="Times New Roman" w:hAnsi="Times New Roman" w:cs="Times New Roman"/>
          <w:color w:val="505050"/>
          <w:sz w:val="32"/>
          <w:szCs w:val="32"/>
        </w:rPr>
        <w:t>201</w:t>
      </w:r>
      <w:r>
        <w:rPr>
          <w:rFonts w:hint="eastAsia" w:ascii="Times New Roman" w:hAnsi="Times New Roman" w:cs="Times New Roman"/>
          <w:color w:val="505050"/>
          <w:sz w:val="32"/>
          <w:szCs w:val="32"/>
        </w:rPr>
        <w:t>9</w:t>
      </w:r>
      <w:r>
        <w:rPr>
          <w:rFonts w:hint="eastAsia" w:ascii="楷体" w:hAnsi="楷体" w:eastAsia="楷体"/>
          <w:color w:val="505050"/>
          <w:sz w:val="32"/>
          <w:szCs w:val="32"/>
        </w:rPr>
        <w:t>年</w:t>
      </w:r>
      <w:r>
        <w:rPr>
          <w:rFonts w:ascii="Times New Roman" w:hAnsi="Times New Roman" w:cs="Times New Roman"/>
          <w:color w:val="505050"/>
          <w:sz w:val="32"/>
          <w:szCs w:val="32"/>
        </w:rPr>
        <w:t>3</w:t>
      </w:r>
      <w:r>
        <w:rPr>
          <w:rFonts w:hint="eastAsia" w:ascii="楷体" w:hAnsi="楷体" w:eastAsia="楷体"/>
          <w:color w:val="505050"/>
          <w:sz w:val="32"/>
          <w:szCs w:val="32"/>
        </w:rPr>
        <w:t>月</w:t>
      </w:r>
    </w:p>
    <w:p w14:paraId="5231F160">
      <w:pPr>
        <w:pStyle w:val="5"/>
        <w:shd w:val="clear" w:color="auto" w:fill="FFFFFF"/>
        <w:spacing w:before="0" w:beforeAutospacing="0" w:after="0" w:afterAutospacing="0" w:line="560" w:lineRule="atLeast"/>
        <w:ind w:firstLine="480"/>
        <w:jc w:val="center"/>
        <w:textAlignment w:val="baseline"/>
        <w:rPr>
          <w:rFonts w:ascii="Times New Roman" w:hAnsi="Times New Roman" w:cs="Times New Roman"/>
          <w:color w:val="505050"/>
          <w:sz w:val="32"/>
          <w:szCs w:val="32"/>
        </w:rPr>
      </w:pPr>
      <w:r>
        <w:rPr>
          <w:rFonts w:ascii="Times New Roman" w:hAnsi="Times New Roman" w:cs="Times New Roman"/>
          <w:color w:val="505050"/>
          <w:sz w:val="32"/>
          <w:szCs w:val="32"/>
        </w:rPr>
        <w:t> </w:t>
      </w:r>
    </w:p>
    <w:p w14:paraId="00992F67">
      <w:pPr>
        <w:pStyle w:val="5"/>
        <w:shd w:val="clear" w:color="auto" w:fill="FFFFFF"/>
        <w:spacing w:before="0" w:beforeAutospacing="0" w:after="0" w:afterAutospacing="0" w:line="560" w:lineRule="atLeast"/>
        <w:ind w:firstLine="480"/>
        <w:jc w:val="center"/>
        <w:textAlignment w:val="baseline"/>
        <w:rPr>
          <w:rFonts w:ascii="Times New Roman" w:hAnsi="Times New Roman" w:cs="Times New Roman"/>
          <w:color w:val="505050"/>
          <w:sz w:val="32"/>
          <w:szCs w:val="32"/>
        </w:rPr>
      </w:pPr>
    </w:p>
    <w:p w14:paraId="7331CC77">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p>
    <w:p w14:paraId="496772C3">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r>
        <w:rPr>
          <w:rFonts w:ascii="Times New Roman" w:hAnsi="Times New Roman" w:cs="Times New Roman"/>
          <w:color w:val="505050"/>
          <w:sz w:val="32"/>
          <w:szCs w:val="32"/>
        </w:rPr>
        <w:t> </w:t>
      </w:r>
    </w:p>
    <w:p w14:paraId="62EC9F6C">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r>
        <w:rPr>
          <w:rFonts w:hint="eastAsia" w:ascii="黑体" w:hAnsi="黑体" w:eastAsia="黑体"/>
          <w:color w:val="505050"/>
          <w:sz w:val="32"/>
          <w:szCs w:val="32"/>
        </w:rPr>
        <w:t>引</w:t>
      </w:r>
      <w:r>
        <w:rPr>
          <w:rStyle w:val="9"/>
          <w:rFonts w:ascii="Times New Roman" w:hAnsi="Times New Roman" w:cs="Times New Roman"/>
          <w:color w:val="505050"/>
          <w:sz w:val="32"/>
          <w:szCs w:val="32"/>
        </w:rPr>
        <w:t> </w:t>
      </w:r>
      <w:r>
        <w:rPr>
          <w:rFonts w:hint="eastAsia" w:ascii="黑体" w:hAnsi="黑体" w:eastAsia="黑体"/>
          <w:color w:val="505050"/>
          <w:sz w:val="32"/>
          <w:szCs w:val="32"/>
        </w:rPr>
        <w:t>言</w:t>
      </w:r>
    </w:p>
    <w:p w14:paraId="41592D91">
      <w:pPr>
        <w:pStyle w:val="5"/>
        <w:shd w:val="clear" w:color="auto" w:fill="FFFFFF"/>
        <w:spacing w:before="0" w:beforeAutospacing="0" w:after="0" w:afterAutospacing="0" w:line="560" w:lineRule="atLeast"/>
        <w:ind w:firstLine="624"/>
        <w:jc w:val="both"/>
        <w:textAlignment w:val="baseline"/>
        <w:rPr>
          <w:rFonts w:ascii="Calibri" w:hAnsi="Calibri"/>
          <w:color w:val="505050"/>
          <w:sz w:val="21"/>
          <w:szCs w:val="21"/>
        </w:rPr>
      </w:pPr>
      <w:r>
        <w:rPr>
          <w:rFonts w:ascii="Times New Roman" w:hAnsi="Times New Roman" w:cs="Times New Roman"/>
          <w:color w:val="505050"/>
          <w:sz w:val="32"/>
          <w:szCs w:val="32"/>
        </w:rPr>
        <w:t> </w:t>
      </w:r>
    </w:p>
    <w:p w14:paraId="181B7B75">
      <w:pPr>
        <w:pStyle w:val="5"/>
        <w:shd w:val="clear" w:color="auto" w:fill="FFFFFF"/>
        <w:spacing w:before="0" w:beforeAutospacing="0" w:after="0" w:afterAutospacing="0" w:line="560" w:lineRule="atLeast"/>
        <w:ind w:firstLine="624"/>
        <w:jc w:val="both"/>
        <w:textAlignment w:val="baseline"/>
        <w:rPr>
          <w:rFonts w:ascii="Calibri" w:hAnsi="Calibri"/>
          <w:color w:val="505050"/>
          <w:sz w:val="21"/>
          <w:szCs w:val="21"/>
        </w:rPr>
      </w:pPr>
      <w:r>
        <w:rPr>
          <w:rFonts w:hint="eastAsia" w:ascii="仿宋" w:hAnsi="仿宋" w:eastAsia="仿宋"/>
          <w:color w:val="505050"/>
          <w:sz w:val="32"/>
          <w:szCs w:val="32"/>
        </w:rPr>
        <w:t>本报告根据《中华人民共和国政府信息公开条例》（以下简称《条例》）及《北京市政府信息公开规定》要求，在</w:t>
      </w:r>
      <w:r>
        <w:rPr>
          <w:rFonts w:ascii="Times New Roman" w:hAnsi="Times New Roman" w:cs="Times New Roman"/>
          <w:color w:val="505050"/>
          <w:sz w:val="32"/>
          <w:szCs w:val="32"/>
        </w:rPr>
        <w:t>201</w:t>
      </w:r>
      <w:r>
        <w:rPr>
          <w:rFonts w:hint="eastAsia" w:ascii="Times New Roman" w:hAnsi="Times New Roman" w:cs="Times New Roman"/>
          <w:color w:val="505050"/>
          <w:sz w:val="32"/>
          <w:szCs w:val="32"/>
        </w:rPr>
        <w:t>8</w:t>
      </w:r>
      <w:r>
        <w:rPr>
          <w:rFonts w:hint="eastAsia" w:ascii="仿宋" w:hAnsi="仿宋" w:eastAsia="仿宋"/>
          <w:color w:val="505050"/>
          <w:sz w:val="32"/>
          <w:szCs w:val="32"/>
        </w:rPr>
        <w:t>年度东城区园林绿化局信息公开工作基础上编制。</w:t>
      </w:r>
    </w:p>
    <w:p w14:paraId="0F7749D5">
      <w:pPr>
        <w:pStyle w:val="5"/>
        <w:shd w:val="clear" w:color="auto" w:fill="FFFFFF"/>
        <w:spacing w:before="0" w:beforeAutospacing="0" w:after="0" w:afterAutospacing="0" w:line="560" w:lineRule="atLeast"/>
        <w:ind w:firstLine="624"/>
        <w:jc w:val="both"/>
        <w:textAlignment w:val="baseline"/>
        <w:rPr>
          <w:rFonts w:ascii="Calibri" w:hAnsi="Calibri"/>
          <w:color w:val="505050"/>
          <w:sz w:val="21"/>
          <w:szCs w:val="21"/>
        </w:rPr>
      </w:pPr>
      <w:r>
        <w:rPr>
          <w:rFonts w:hint="eastAsia" w:ascii="仿宋" w:hAnsi="仿宋" w:eastAsia="仿宋"/>
          <w:color w:val="505050"/>
          <w:sz w:val="32"/>
          <w:szCs w:val="32"/>
        </w:rPr>
        <w:t>全文包括</w:t>
      </w:r>
      <w:r>
        <w:rPr>
          <w:rFonts w:ascii="Times New Roman" w:hAnsi="Times New Roman" w:cs="Times New Roman"/>
          <w:color w:val="505050"/>
          <w:sz w:val="32"/>
          <w:szCs w:val="32"/>
        </w:rPr>
        <w:t>201</w:t>
      </w:r>
      <w:r>
        <w:rPr>
          <w:rFonts w:hint="eastAsia" w:ascii="Times New Roman" w:hAnsi="Times New Roman" w:cs="Times New Roman"/>
          <w:color w:val="505050"/>
          <w:sz w:val="32"/>
          <w:szCs w:val="32"/>
        </w:rPr>
        <w:t>8</w:t>
      </w:r>
      <w:r>
        <w:rPr>
          <w:rFonts w:hint="eastAsia" w:ascii="仿宋" w:hAnsi="仿宋" w:eastAsia="仿宋"/>
          <w:color w:val="505050"/>
          <w:sz w:val="32"/>
          <w:szCs w:val="32"/>
        </w:rPr>
        <w:t>年东城区园林绿化局政府信息和政务公开重点工作情况；主动公开政府信息情况；依申请公开政府信息情况；政府信息公开行政复议、行政诉讼情况；存在的不足及</w:t>
      </w:r>
      <w:r>
        <w:rPr>
          <w:rFonts w:ascii="Times New Roman" w:hAnsi="Times New Roman" w:cs="Times New Roman"/>
          <w:color w:val="505050"/>
          <w:sz w:val="32"/>
          <w:szCs w:val="32"/>
        </w:rPr>
        <w:t>201</w:t>
      </w:r>
      <w:r>
        <w:rPr>
          <w:rFonts w:hint="eastAsia" w:ascii="Times New Roman" w:hAnsi="Times New Roman" w:cs="Times New Roman"/>
          <w:color w:val="505050"/>
          <w:sz w:val="32"/>
          <w:szCs w:val="32"/>
        </w:rPr>
        <w:t>9</w:t>
      </w:r>
      <w:r>
        <w:rPr>
          <w:rFonts w:hint="eastAsia" w:ascii="仿宋" w:hAnsi="仿宋" w:eastAsia="仿宋"/>
          <w:color w:val="505050"/>
          <w:sz w:val="32"/>
          <w:szCs w:val="32"/>
        </w:rPr>
        <w:t>年重点工作。</w:t>
      </w:r>
    </w:p>
    <w:p w14:paraId="40FAB678">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仿宋" w:hAnsi="仿宋" w:eastAsia="仿宋"/>
          <w:color w:val="505050"/>
          <w:sz w:val="32"/>
          <w:szCs w:val="32"/>
        </w:rPr>
        <w:t>本报告中所列数据的统计期限自</w:t>
      </w:r>
      <w:r>
        <w:rPr>
          <w:rFonts w:ascii="Times New Roman" w:hAnsi="Times New Roman" w:cs="Times New Roman"/>
          <w:color w:val="505050"/>
          <w:sz w:val="32"/>
          <w:szCs w:val="32"/>
        </w:rPr>
        <w:t>201</w:t>
      </w:r>
      <w:r>
        <w:rPr>
          <w:rFonts w:hint="eastAsia" w:ascii="Times New Roman" w:hAnsi="Times New Roman" w:cs="Times New Roman"/>
          <w:color w:val="505050"/>
          <w:sz w:val="32"/>
          <w:szCs w:val="32"/>
        </w:rPr>
        <w:t>8</w:t>
      </w:r>
      <w:r>
        <w:rPr>
          <w:rFonts w:hint="eastAsia" w:ascii="仿宋" w:hAnsi="仿宋" w:eastAsia="仿宋"/>
          <w:color w:val="505050"/>
          <w:sz w:val="32"/>
          <w:szCs w:val="32"/>
        </w:rPr>
        <w:t>年</w:t>
      </w:r>
      <w:r>
        <w:rPr>
          <w:rFonts w:ascii="Times New Roman" w:hAnsi="Times New Roman" w:cs="Times New Roman"/>
          <w:color w:val="505050"/>
          <w:sz w:val="32"/>
          <w:szCs w:val="32"/>
        </w:rPr>
        <w:t>1</w:t>
      </w:r>
      <w:r>
        <w:rPr>
          <w:rFonts w:hint="eastAsia" w:ascii="仿宋" w:hAnsi="仿宋" w:eastAsia="仿宋"/>
          <w:color w:val="505050"/>
          <w:sz w:val="32"/>
          <w:szCs w:val="32"/>
        </w:rPr>
        <w:t>月</w:t>
      </w:r>
      <w:r>
        <w:rPr>
          <w:rFonts w:ascii="Times New Roman" w:hAnsi="Times New Roman" w:cs="Times New Roman"/>
          <w:color w:val="505050"/>
          <w:sz w:val="32"/>
          <w:szCs w:val="32"/>
        </w:rPr>
        <w:t>1</w:t>
      </w:r>
      <w:r>
        <w:rPr>
          <w:rFonts w:hint="eastAsia" w:ascii="仿宋" w:hAnsi="仿宋" w:eastAsia="仿宋"/>
          <w:color w:val="505050"/>
          <w:sz w:val="32"/>
          <w:szCs w:val="32"/>
        </w:rPr>
        <w:t>日起，至</w:t>
      </w:r>
      <w:r>
        <w:rPr>
          <w:rFonts w:ascii="Times New Roman" w:hAnsi="Times New Roman" w:cs="Times New Roman"/>
          <w:color w:val="505050"/>
          <w:sz w:val="32"/>
          <w:szCs w:val="32"/>
        </w:rPr>
        <w:t>201</w:t>
      </w:r>
      <w:r>
        <w:rPr>
          <w:rFonts w:hint="eastAsia" w:ascii="Times New Roman" w:hAnsi="Times New Roman" w:cs="Times New Roman"/>
          <w:color w:val="505050"/>
          <w:sz w:val="32"/>
          <w:szCs w:val="32"/>
        </w:rPr>
        <w:t>8</w:t>
      </w:r>
      <w:r>
        <w:rPr>
          <w:rFonts w:hint="eastAsia" w:ascii="仿宋" w:hAnsi="仿宋" w:eastAsia="仿宋"/>
          <w:color w:val="505050"/>
          <w:sz w:val="32"/>
          <w:szCs w:val="32"/>
        </w:rPr>
        <w:t>年</w:t>
      </w:r>
      <w:r>
        <w:rPr>
          <w:rFonts w:ascii="Times New Roman" w:hAnsi="Times New Roman" w:cs="Times New Roman"/>
          <w:color w:val="505050"/>
          <w:sz w:val="32"/>
          <w:szCs w:val="32"/>
        </w:rPr>
        <w:t>12</w:t>
      </w:r>
      <w:r>
        <w:rPr>
          <w:rFonts w:hint="eastAsia" w:ascii="仿宋" w:hAnsi="仿宋" w:eastAsia="仿宋"/>
          <w:color w:val="505050"/>
          <w:sz w:val="32"/>
          <w:szCs w:val="32"/>
        </w:rPr>
        <w:t>月</w:t>
      </w:r>
      <w:r>
        <w:rPr>
          <w:rFonts w:ascii="Times New Roman" w:hAnsi="Times New Roman" w:cs="Times New Roman"/>
          <w:color w:val="505050"/>
          <w:sz w:val="32"/>
          <w:szCs w:val="32"/>
        </w:rPr>
        <w:t>31</w:t>
      </w:r>
      <w:r>
        <w:rPr>
          <w:rFonts w:hint="eastAsia" w:ascii="仿宋" w:hAnsi="仿宋" w:eastAsia="仿宋"/>
          <w:color w:val="505050"/>
          <w:sz w:val="32"/>
          <w:szCs w:val="32"/>
        </w:rPr>
        <w:t>日止。</w:t>
      </w:r>
    </w:p>
    <w:p w14:paraId="6F14B4C2">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仿宋" w:hAnsi="仿宋" w:eastAsia="仿宋"/>
          <w:color w:val="505050"/>
          <w:sz w:val="32"/>
          <w:szCs w:val="32"/>
        </w:rPr>
        <w:t>本报告的电子版可在政府信息公开专栏（</w:t>
      </w:r>
      <w:r>
        <w:rPr>
          <w:rFonts w:hint="eastAsia" w:ascii="Times New Roman" w:hAnsi="Times New Roman" w:cs="Times New Roman"/>
          <w:color w:val="505050"/>
          <w:sz w:val="32"/>
          <w:szCs w:val="32"/>
        </w:rPr>
        <w:t>http://www.bjdch.gov.cn/n1694590/n8859196/n8859230/c8937158/content.html</w:t>
      </w:r>
      <w:r>
        <w:rPr>
          <w:rFonts w:hint="eastAsia" w:ascii="仿宋" w:hAnsi="仿宋" w:eastAsia="仿宋"/>
          <w:color w:val="505050"/>
          <w:sz w:val="32"/>
          <w:szCs w:val="32"/>
        </w:rPr>
        <w:t>）上下载。由于篇幅所限，如对本报告有任何疑问，请与东城区园林绿化局办公室联系（地址：北京市东城区东直门内北中街甲</w:t>
      </w:r>
      <w:r>
        <w:rPr>
          <w:rFonts w:ascii="Times New Roman" w:hAnsi="Times New Roman" w:cs="Times New Roman"/>
          <w:color w:val="505050"/>
          <w:sz w:val="32"/>
          <w:szCs w:val="32"/>
        </w:rPr>
        <w:t>1</w:t>
      </w:r>
      <w:r>
        <w:rPr>
          <w:rFonts w:hint="eastAsia" w:ascii="仿宋" w:hAnsi="仿宋" w:eastAsia="仿宋"/>
          <w:color w:val="505050"/>
          <w:sz w:val="32"/>
          <w:szCs w:val="32"/>
        </w:rPr>
        <w:t>号东城区园林绿化局</w:t>
      </w:r>
      <w:r>
        <w:rPr>
          <w:rFonts w:ascii="Times New Roman" w:hAnsi="Times New Roman" w:cs="Times New Roman"/>
          <w:color w:val="505050"/>
          <w:sz w:val="32"/>
          <w:szCs w:val="32"/>
        </w:rPr>
        <w:t>204</w:t>
      </w:r>
      <w:r>
        <w:rPr>
          <w:rFonts w:hint="eastAsia" w:ascii="仿宋" w:hAnsi="仿宋" w:eastAsia="仿宋"/>
          <w:color w:val="505050"/>
          <w:sz w:val="32"/>
          <w:szCs w:val="32"/>
        </w:rPr>
        <w:t>办公室；邮编：</w:t>
      </w:r>
      <w:r>
        <w:rPr>
          <w:rFonts w:ascii="Times New Roman" w:hAnsi="Times New Roman" w:cs="Times New Roman"/>
          <w:color w:val="505050"/>
          <w:sz w:val="32"/>
          <w:szCs w:val="32"/>
        </w:rPr>
        <w:t>100007</w:t>
      </w:r>
      <w:r>
        <w:rPr>
          <w:rFonts w:hint="eastAsia" w:ascii="仿宋" w:hAnsi="仿宋" w:eastAsia="仿宋"/>
          <w:color w:val="505050"/>
          <w:sz w:val="32"/>
          <w:szCs w:val="32"/>
        </w:rPr>
        <w:t>；联系电话：</w:t>
      </w:r>
      <w:r>
        <w:rPr>
          <w:rFonts w:ascii="Times New Roman" w:hAnsi="Times New Roman" w:cs="Times New Roman"/>
          <w:color w:val="505050"/>
          <w:sz w:val="32"/>
          <w:szCs w:val="32"/>
        </w:rPr>
        <w:t>010-64041796</w:t>
      </w:r>
      <w:r>
        <w:rPr>
          <w:rFonts w:hint="eastAsia" w:ascii="仿宋" w:hAnsi="仿宋" w:eastAsia="仿宋"/>
          <w:color w:val="505050"/>
          <w:sz w:val="32"/>
          <w:szCs w:val="32"/>
        </w:rPr>
        <w:t>；电子邮箱：</w:t>
      </w:r>
      <w:r>
        <w:fldChar w:fldCharType="begin"/>
      </w:r>
      <w:r>
        <w:instrText xml:space="preserve"> HYPERLINK "mailto:dcylbangongshi1796@163.com" </w:instrText>
      </w:r>
      <w:r>
        <w:fldChar w:fldCharType="separate"/>
      </w:r>
      <w:r>
        <w:rPr>
          <w:rStyle w:val="8"/>
          <w:rFonts w:ascii="Times New Roman" w:hAnsi="Times New Roman" w:cs="Times New Roman"/>
          <w:color w:val="000000"/>
          <w:sz w:val="32"/>
          <w:szCs w:val="32"/>
          <w:u w:val="none"/>
        </w:rPr>
        <w:t>dcylbangongshi1796@163.com</w:t>
      </w:r>
      <w:r>
        <w:rPr>
          <w:rStyle w:val="8"/>
          <w:rFonts w:ascii="Times New Roman" w:hAnsi="Times New Roman" w:cs="Times New Roman"/>
          <w:color w:val="000000"/>
          <w:sz w:val="32"/>
          <w:szCs w:val="32"/>
          <w:u w:val="none"/>
        </w:rPr>
        <w:fldChar w:fldCharType="end"/>
      </w:r>
      <w:r>
        <w:rPr>
          <w:rFonts w:hint="eastAsia" w:ascii="仿宋" w:hAnsi="仿宋" w:eastAsia="仿宋"/>
          <w:color w:val="505050"/>
          <w:sz w:val="32"/>
          <w:szCs w:val="32"/>
        </w:rPr>
        <w:t>）。</w:t>
      </w:r>
      <w:r>
        <w:rPr>
          <w:rFonts w:ascii="Times New Roman" w:hAnsi="Times New Roman" w:cs="Times New Roman"/>
          <w:color w:val="505050"/>
          <w:sz w:val="32"/>
          <w:szCs w:val="32"/>
        </w:rPr>
        <w:t> </w:t>
      </w:r>
    </w:p>
    <w:p w14:paraId="3E67A75F">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黑体" w:hAnsi="黑体" w:eastAsia="黑体"/>
          <w:color w:val="505050"/>
          <w:sz w:val="32"/>
          <w:szCs w:val="32"/>
        </w:rPr>
        <w:t>一、重点工作情况</w:t>
      </w:r>
    </w:p>
    <w:p w14:paraId="38FBCC77">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楷体" w:hAnsi="楷体" w:eastAsia="楷体"/>
          <w:color w:val="505050"/>
          <w:sz w:val="32"/>
          <w:szCs w:val="32"/>
        </w:rPr>
        <w:t>（一）落实《东城区2018年政务公开工作要点》工作情况</w:t>
      </w:r>
    </w:p>
    <w:p w14:paraId="44C17429">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仿宋" w:hAnsi="仿宋" w:eastAsia="仿宋"/>
          <w:color w:val="505050"/>
          <w:sz w:val="32"/>
          <w:szCs w:val="32"/>
        </w:rPr>
        <w:t>2018年，区园林绿化局积极公开《关于做好2018年全民义务植树工作的通知》、《关于开展排查树木安全隐患清除危死树工作的通知》等重要指导性文件，并及时公开工作落实情况和工作成果。对于公园绿地500米服务半径覆盖率提升工作、《东城区“留白增绿”行动计划（2018年—2020年）》编制工作、新中街城市森林公园、景泰休闲公园、香河园公园、明城墙遗址公园北绿地建设工作、屋顶绿化、古树名木保护工作等重大项目、重要工作，组织召开专家论证会和工程方案评审会，公开相关工作信息，确保工作的科学性。做好意见调查征集，在门户网站上对园林绿化行业管理、古树名木保护、有害生物防控、群众绿化工作开展、城市绿化美化建设等工作进行意见征集，及时了解百姓需求。按照要求积极做好财政预算、决算和三公经费使用情况公开。同时，进一步做好政策解读和热点解答工作。积极与市园林绿化局沟通，完善政策法规公开和解读。在两会后的新闻发布会上，积极回应年度重大项目、重要工作相关情况。对于公众的来访、来电、提问进行认真研究解答。同时在网站上对于 “区内公园内可以烧烤吗？”“机动车可以进入公园吗？”、“听说可以认养树木，认养费用如何?”等群众疑问比较多、关注度比较高的问题进行网站公开解答和政策解读。及时回应社会关切，推进生态文明和城市环境建设方面信息公开。园林绿化美化工作是生态文明的重要组成部分，也是今年环境建设的重要内容，是群众关注的热点和重点。我局一贯遵循“公开是原则，不公开是例外”的原则，做到公开信息的全面真实、及时准确。在公开内容上，紧紧把握住园林事业发展的关键工作、关键环节，确定群众关心、社会关注、与群众利益最密切相关的重要事项作为主动公开的重点内容。每年年初坚持公开年度工作总结及年度绿化美化工作安排，同时全年信息公开围绕年度工作计划，以规划建绿、道路景观绿化改造提升、公共绿地建设、立体绿化、重要节日重要活动的花卉布置的信息为主，同时，围绕我局坚持共建共享、紧抓群众绿化的相关工作，公开了义务植树工作、首都绿化美化花园式创建、市花月季进社区暨乡土植物进社区等方面的信息。此外，还公开了部分坚持精细化管理、探索绿化资源管护新机制、绿化美化工作信息化建设、园林文化建设等方面相关信息。同时，围绕重点工作，充分利用中央、市属重点媒体，策划和推出了一系列重点报道。围绕全民义务植树日、东城区开展杨柳飞絮治理工作、新中街城市森林公园建成开园、“万株月季绿植进家庭”暨 “花园式社区”创建启动仪式、东城区国庆花卉布置等重点工作进行扩大宣传，《北京日报》、《北京晚报》、《北京青年报》、《新东城》和北京电视台等多家媒体都对相关活动进行新闻报道。</w:t>
      </w:r>
    </w:p>
    <w:p w14:paraId="4F4BBADE">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楷体" w:hAnsi="楷体" w:eastAsia="楷体"/>
          <w:color w:val="505050"/>
          <w:sz w:val="32"/>
          <w:szCs w:val="32"/>
        </w:rPr>
        <w:t>（二）政府信息和政务公开渠道平台建设情况</w:t>
      </w:r>
    </w:p>
    <w:p w14:paraId="24B63BCC">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仿宋" w:hAnsi="仿宋" w:eastAsia="仿宋"/>
          <w:color w:val="505050"/>
          <w:sz w:val="32"/>
          <w:szCs w:val="32"/>
        </w:rPr>
        <w:t>积极做好常规的信息公开网站平台公开，在东城区园林绿化局网站上同步公开信息，按照区信息办的要求，做好网站改版和对接工作。同时利用微信、政务微博进行信息公开，充分利用中央、市属重点媒体，策划和推出了一系列重点报道，为公众了解全区绿化美化工作，提高群众爱绿护绿意识，参与到绿化美化工作中来提供了更广阔的渠道。</w:t>
      </w:r>
    </w:p>
    <w:p w14:paraId="4C41F771">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楷体" w:hAnsi="楷体" w:eastAsia="楷体"/>
          <w:color w:val="505050"/>
          <w:sz w:val="32"/>
          <w:szCs w:val="32"/>
        </w:rPr>
        <w:t>（三）政府信息公开机构、组织领导、制度建设和考核监督情况</w:t>
      </w:r>
    </w:p>
    <w:p w14:paraId="20C1D303">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仿宋" w:hAnsi="仿宋" w:eastAsia="仿宋"/>
          <w:color w:val="505050"/>
          <w:sz w:val="32"/>
          <w:szCs w:val="32"/>
        </w:rPr>
        <w:t>一是建立了主要领导亲自过问，主管领导督察检查，信息公开责任部门具体落实的信息公开体系。确保了园林绿化局政府信息公开工作的顺利开展。凡是关于信息公开工作的相关文件，须经主要领导批示，主管领导阅示后经信息公开主责部门（办公室）进行办理，办理情况及时反馈主管领导和主要领导，需上报的文字材料须经主要领导审阅后方能上报。每年的财政预决算及“三公”经费信息公开必须上局长办公会讨论决定后公开。主管领导定期检查信息公开工作，听取信息公开工作汇报，严格把关保密审查程序，为信息公开工作的开展提供了支持。</w:t>
      </w:r>
    </w:p>
    <w:p w14:paraId="25FCE0B5">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仿宋" w:hAnsi="仿宋" w:eastAsia="仿宋"/>
          <w:color w:val="505050"/>
          <w:sz w:val="32"/>
          <w:szCs w:val="32"/>
        </w:rPr>
        <w:t>二是畅通信息公开保密检查渠道。信息公开工作和保密工作责任部门均为办公室。目前我局信息公开工作主管领导也是保密工作主管领导，确立了两项工作一起抓的工作局面，简化并规范了信息公开保密审查工作的程序，确保了保密审查工作的严格落实。</w:t>
      </w:r>
    </w:p>
    <w:p w14:paraId="2F9DECD6">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仿宋" w:hAnsi="仿宋" w:eastAsia="仿宋"/>
          <w:color w:val="505050"/>
          <w:sz w:val="32"/>
          <w:szCs w:val="32"/>
        </w:rPr>
        <w:t>三是加强制度保障。按照区政府要求，结合工作实际，严格根据信息公开各项工作制度开展工作。依法、全面、准确、及时地做好公开工作。</w:t>
      </w:r>
    </w:p>
    <w:p w14:paraId="3D67B752">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楷体" w:hAnsi="楷体" w:eastAsia="楷体"/>
          <w:color w:val="505050"/>
          <w:sz w:val="32"/>
          <w:szCs w:val="32"/>
        </w:rPr>
        <w:t>（四）教育培训工作情况</w:t>
      </w:r>
    </w:p>
    <w:p w14:paraId="23CCDA21">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color w:val="505050"/>
          <w:sz w:val="32"/>
          <w:szCs w:val="32"/>
        </w:rPr>
        <w:t> </w:t>
      </w:r>
      <w:r>
        <w:rPr>
          <w:rFonts w:hint="eastAsia" w:ascii="仿宋" w:hAnsi="仿宋" w:eastAsia="仿宋"/>
          <w:color w:val="505050"/>
          <w:sz w:val="32"/>
          <w:szCs w:val="32"/>
        </w:rPr>
        <w:t>2018年，区园林绿化局举办信息公开工作培训2次，全局30名干部职工参加培训，取得了良好的效果。</w:t>
      </w:r>
    </w:p>
    <w:p w14:paraId="521B0EDF">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黑体" w:hAnsi="黑体" w:eastAsia="黑体"/>
          <w:color w:val="505050"/>
          <w:sz w:val="32"/>
          <w:szCs w:val="32"/>
        </w:rPr>
        <w:t>三、信息公开数据</w:t>
      </w:r>
    </w:p>
    <w:p w14:paraId="56CC18F3">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楷体" w:hAnsi="楷体" w:eastAsia="楷体"/>
          <w:color w:val="000000"/>
          <w:sz w:val="32"/>
          <w:szCs w:val="32"/>
        </w:rPr>
        <w:t>（一）公开情况</w:t>
      </w:r>
    </w:p>
    <w:p w14:paraId="346EA882">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仿宋" w:hAnsi="仿宋" w:eastAsia="仿宋"/>
          <w:color w:val="505050"/>
          <w:sz w:val="32"/>
          <w:szCs w:val="32"/>
        </w:rPr>
        <w:t>截止2018年底，我局全年通过政府信息公开专栏共主动公开政府信息538条，其中全文电子化率达100%。</w:t>
      </w:r>
    </w:p>
    <w:p w14:paraId="53B2C9D2">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楷体" w:hAnsi="楷体" w:eastAsia="楷体"/>
          <w:color w:val="000000"/>
          <w:sz w:val="32"/>
          <w:szCs w:val="32"/>
        </w:rPr>
        <w:t>（二）公开形式</w:t>
      </w:r>
    </w:p>
    <w:p w14:paraId="40E61C75">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仿宋" w:hAnsi="仿宋" w:eastAsia="仿宋"/>
          <w:color w:val="505050"/>
          <w:sz w:val="32"/>
          <w:szCs w:val="32"/>
        </w:rPr>
        <w:t>在主动公开的信息中，为方便公众了解信息，我局持续做好已有信息公开渠道的维护工作，在信息公开网站及数字东城网站进一步明确信息公开查阅点和接待部门，在一楼大厅设立了电子屏幕，及时将信息发布于信息公开网站并印制了便民手册。同时增强与宣传部门的沟通对接，通过政务微博、宣传报道等形式，丰富了主动公开政府信息的渠道，切实确保人民群众的知情权、参与权、监督权。</w:t>
      </w:r>
    </w:p>
    <w:p w14:paraId="2F2E2ABD">
      <w:pPr>
        <w:pStyle w:val="5"/>
        <w:shd w:val="clear" w:color="auto" w:fill="FFFFFF"/>
        <w:spacing w:before="0" w:beforeAutospacing="0" w:after="0" w:afterAutospacing="0" w:line="560" w:lineRule="atLeast"/>
        <w:ind w:firstLine="480"/>
        <w:jc w:val="center"/>
        <w:textAlignment w:val="baseline"/>
        <w:rPr>
          <w:rFonts w:ascii="Calibri" w:hAnsi="Calibri"/>
          <w:color w:val="505050"/>
          <w:sz w:val="21"/>
          <w:szCs w:val="21"/>
        </w:rPr>
      </w:pPr>
      <w:r>
        <w:rPr>
          <w:rFonts w:hint="eastAsia" w:ascii="黑体" w:hAnsi="黑体" w:eastAsia="黑体"/>
          <w:color w:val="505050"/>
          <w:sz w:val="32"/>
          <w:szCs w:val="32"/>
        </w:rPr>
        <w:t>三、政府信息依申请公开和不予公开政府信息的情况</w:t>
      </w:r>
    </w:p>
    <w:p w14:paraId="7E9BD730">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仿宋" w:hAnsi="仿宋" w:eastAsia="仿宋"/>
          <w:color w:val="000000"/>
          <w:sz w:val="32"/>
          <w:szCs w:val="32"/>
        </w:rPr>
        <w:t>区园林绿化局2018年度共收到政府信息公开申请0件。</w:t>
      </w:r>
    </w:p>
    <w:p w14:paraId="0BC5E97F">
      <w:pPr>
        <w:pStyle w:val="5"/>
        <w:shd w:val="clear" w:color="auto" w:fill="FFFFFF"/>
        <w:spacing w:before="0" w:beforeAutospacing="0" w:after="0" w:afterAutospacing="0" w:line="560" w:lineRule="atLeast"/>
        <w:ind w:firstLine="640"/>
        <w:jc w:val="center"/>
        <w:textAlignment w:val="baseline"/>
        <w:rPr>
          <w:rFonts w:ascii="Calibri" w:hAnsi="Calibri"/>
          <w:color w:val="505050"/>
          <w:sz w:val="21"/>
          <w:szCs w:val="21"/>
        </w:rPr>
      </w:pPr>
      <w:r>
        <w:rPr>
          <w:rFonts w:hint="eastAsia" w:ascii="黑体" w:hAnsi="黑体" w:eastAsia="黑体"/>
          <w:color w:val="000000"/>
          <w:sz w:val="32"/>
          <w:szCs w:val="32"/>
        </w:rPr>
        <w:t>四、行政复议和行政诉讼情况</w:t>
      </w:r>
    </w:p>
    <w:p w14:paraId="1301DCC1">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仿宋" w:hAnsi="仿宋" w:eastAsia="仿宋"/>
          <w:color w:val="000000"/>
          <w:sz w:val="32"/>
          <w:szCs w:val="32"/>
        </w:rPr>
        <w:t>2018年，针对本区园林绿化局政府信息公开的行政复议申请0件。</w:t>
      </w:r>
    </w:p>
    <w:p w14:paraId="72EA662D">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仿宋" w:hAnsi="仿宋" w:eastAsia="仿宋"/>
          <w:color w:val="000000"/>
          <w:sz w:val="32"/>
          <w:szCs w:val="32"/>
        </w:rPr>
        <w:t>针对本区园林绿化局政府信息公开的行政诉讼案0件。</w:t>
      </w:r>
    </w:p>
    <w:p w14:paraId="43CDBEFE">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仿宋" w:hAnsi="仿宋" w:eastAsia="仿宋"/>
          <w:color w:val="000000"/>
          <w:sz w:val="32"/>
          <w:szCs w:val="32"/>
        </w:rPr>
        <w:t>针对本区园林绿化局政府信息公开的申诉案0件。</w:t>
      </w:r>
    </w:p>
    <w:p w14:paraId="4E797F8C">
      <w:pPr>
        <w:pStyle w:val="5"/>
        <w:shd w:val="clear" w:color="auto" w:fill="FFFFFF"/>
        <w:spacing w:before="0" w:beforeAutospacing="0" w:after="0" w:afterAutospacing="0" w:line="560" w:lineRule="atLeast"/>
        <w:ind w:firstLine="640"/>
        <w:jc w:val="center"/>
        <w:textAlignment w:val="baseline"/>
        <w:rPr>
          <w:rFonts w:ascii="Calibri" w:hAnsi="Calibri"/>
          <w:color w:val="505050"/>
          <w:sz w:val="21"/>
          <w:szCs w:val="21"/>
        </w:rPr>
      </w:pPr>
      <w:r>
        <w:rPr>
          <w:rFonts w:hint="eastAsia" w:ascii="黑体" w:hAnsi="黑体" w:eastAsia="黑体"/>
          <w:color w:val="000000"/>
          <w:sz w:val="32"/>
          <w:szCs w:val="32"/>
        </w:rPr>
        <w:t>五、主要问题和改进措施</w:t>
      </w:r>
    </w:p>
    <w:p w14:paraId="0931E97A">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仿宋" w:hAnsi="仿宋" w:eastAsia="仿宋"/>
          <w:color w:val="505050"/>
          <w:sz w:val="32"/>
          <w:szCs w:val="32"/>
        </w:rPr>
        <w:t>2018年，我局按照《中华人民共和国政府信息公开条例》和《东城区2017年政务公开工作要点》要求，继续开展做好各项信息公开工作，在区委区政府的统一要求和领导下，政府信息公开工作取得了一定的成果。但还存在一些不足，一是对政府信息公开工作的认识需要进一步提高；二是工作制度和工作机制需要在实践中进一步创新。三是信息公开渠道有待进一步拓宽。四是信息公开课题研究有待进一步加强。</w:t>
      </w:r>
    </w:p>
    <w:p w14:paraId="20BF6BDC">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仿宋" w:hAnsi="仿宋" w:eastAsia="仿宋"/>
          <w:color w:val="505050"/>
          <w:sz w:val="32"/>
          <w:szCs w:val="32"/>
        </w:rPr>
        <w:t>2019年，区园林绿化局政府信息公开工作将紧紧围绕全区绿化美化和环境建设中心工作，积极贯彻落实区政府相关规定，将公开透明作为依法行政的基本要求，不断扩大公开范围，细化公开内容，拓展公开渠道，切实加强信息发布和回应，增强政务信息公开实效。</w:t>
      </w:r>
    </w:p>
    <w:p w14:paraId="584A78F7">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楷体" w:hAnsi="楷体" w:eastAsia="楷体"/>
          <w:color w:val="505050"/>
          <w:sz w:val="32"/>
          <w:szCs w:val="32"/>
        </w:rPr>
        <w:t>(一)切实加强主动公开工作</w:t>
      </w:r>
    </w:p>
    <w:p w14:paraId="707D556A">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仿宋" w:hAnsi="仿宋" w:eastAsia="仿宋"/>
          <w:color w:val="505050"/>
          <w:sz w:val="32"/>
          <w:szCs w:val="32"/>
        </w:rPr>
        <w:t>一是进一步加强规范性文件公开工作管理，按照“公开是原则，不公开是例外”的原则，对全局产生的规范性文件进行甄别审核，能公开的一律公开。规范不予公开信息审核管理工作。二是加强政策解读。对涉及到生态文明建设、绿化美化工作的重大决策部署、政策措施、重大项目规划和实施情况等内容的信息，进行深入解读，多渠道进行公开。三是进一步拓宽信息发布渠道。及时通过政务信息公开栏、门户网站公开相关信息，充分利用好政务微博的作用，不断进行业务创新。</w:t>
      </w:r>
    </w:p>
    <w:p w14:paraId="7BA8E14D">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楷体" w:hAnsi="楷体" w:eastAsia="楷体"/>
          <w:color w:val="505050"/>
          <w:sz w:val="32"/>
          <w:szCs w:val="32"/>
        </w:rPr>
        <w:t>(二)加强业务学习和业务培训</w:t>
      </w:r>
    </w:p>
    <w:p w14:paraId="303C655A">
      <w:pPr>
        <w:pStyle w:val="5"/>
        <w:shd w:val="clear" w:color="auto" w:fill="FFFFFF"/>
        <w:spacing w:before="0" w:beforeAutospacing="0" w:after="0" w:afterAutospacing="0" w:line="560" w:lineRule="atLeast"/>
        <w:ind w:firstLine="640"/>
        <w:jc w:val="both"/>
        <w:textAlignment w:val="baseline"/>
        <w:rPr>
          <w:rFonts w:ascii="Calibri" w:hAnsi="Calibri"/>
          <w:color w:val="505050"/>
          <w:sz w:val="21"/>
          <w:szCs w:val="21"/>
        </w:rPr>
      </w:pPr>
      <w:r>
        <w:rPr>
          <w:rFonts w:hint="eastAsia" w:ascii="仿宋" w:hAnsi="仿宋" w:eastAsia="仿宋"/>
          <w:color w:val="505050"/>
          <w:sz w:val="32"/>
          <w:szCs w:val="32"/>
        </w:rPr>
        <w:t>积极参加市政务办举办的政务公开和政府信息公开业务培训班，加强对本单位干部职工政府信息公开、政务公开内容、格式的培训，加大信息采集、整理的力度，提高工作人员的思想认识和工作技能，不断增强政府信息公开工作的能力，进一步推进政府信息公开、政务公开的有效结合，以政府信息公开、政务公开带动办事公开，以办事公开带动便民服务，提高我局行政效能。</w:t>
      </w:r>
    </w:p>
    <w:p w14:paraId="0557540B">
      <w:pPr>
        <w:pStyle w:val="5"/>
        <w:shd w:val="clear" w:color="auto" w:fill="FFFFFF"/>
        <w:spacing w:before="0" w:beforeAutospacing="0" w:after="0" w:afterAutospacing="0" w:line="560" w:lineRule="atLeast"/>
        <w:ind w:firstLine="480"/>
        <w:jc w:val="both"/>
        <w:textAlignment w:val="baseline"/>
        <w:rPr>
          <w:rFonts w:ascii="Calibri" w:hAnsi="Calibri"/>
          <w:color w:val="505050"/>
          <w:sz w:val="21"/>
          <w:szCs w:val="21"/>
        </w:rPr>
      </w:pPr>
      <w:r>
        <w:rPr>
          <w:rFonts w:ascii="Times New Roman" w:hAnsi="Times New Roman" w:cs="Times New Roman"/>
          <w:color w:val="505050"/>
          <w:sz w:val="32"/>
          <w:szCs w:val="32"/>
        </w:rPr>
        <w:t> </w:t>
      </w:r>
    </w:p>
    <w:p w14:paraId="0194FF44">
      <w:pPr>
        <w:pStyle w:val="5"/>
        <w:shd w:val="clear" w:color="auto" w:fill="FFFFFF"/>
        <w:spacing w:before="0" w:beforeAutospacing="0" w:after="0" w:afterAutospacing="0" w:line="560" w:lineRule="atLeast"/>
        <w:ind w:firstLine="4643"/>
        <w:jc w:val="both"/>
        <w:textAlignment w:val="baseline"/>
        <w:rPr>
          <w:rFonts w:ascii="Calibri" w:hAnsi="Calibri"/>
          <w:color w:val="505050"/>
          <w:sz w:val="21"/>
          <w:szCs w:val="21"/>
        </w:rPr>
      </w:pPr>
      <w:r>
        <w:rPr>
          <w:rFonts w:hint="eastAsia" w:ascii="仿宋" w:hAnsi="仿宋" w:eastAsia="仿宋"/>
          <w:color w:val="505050"/>
          <w:sz w:val="32"/>
          <w:szCs w:val="32"/>
        </w:rPr>
        <w:t>东城区园林绿化局</w:t>
      </w:r>
    </w:p>
    <w:p w14:paraId="58AA0283">
      <w:pPr>
        <w:pStyle w:val="5"/>
        <w:shd w:val="clear" w:color="auto" w:fill="FFFFFF"/>
        <w:spacing w:before="0" w:beforeAutospacing="0" w:after="0" w:afterAutospacing="0" w:line="560" w:lineRule="atLeast"/>
        <w:ind w:firstLine="5120"/>
        <w:jc w:val="both"/>
        <w:textAlignment w:val="baseline"/>
        <w:rPr>
          <w:rFonts w:ascii="仿宋" w:hAnsi="仿宋" w:eastAsia="仿宋"/>
          <w:color w:val="505050"/>
          <w:sz w:val="32"/>
          <w:szCs w:val="32"/>
        </w:rPr>
      </w:pPr>
      <w:r>
        <w:rPr>
          <w:rFonts w:hint="eastAsia" w:ascii="仿宋" w:hAnsi="仿宋" w:eastAsia="仿宋"/>
          <w:color w:val="505050"/>
          <w:sz w:val="32"/>
          <w:szCs w:val="32"/>
        </w:rPr>
        <w:t>2019年3月</w:t>
      </w:r>
    </w:p>
    <w:p w14:paraId="7289F3DE">
      <w:pPr>
        <w:pStyle w:val="5"/>
        <w:shd w:val="clear" w:color="auto" w:fill="FFFFFF"/>
        <w:spacing w:before="0" w:beforeAutospacing="0" w:after="0" w:afterAutospacing="0" w:line="560" w:lineRule="atLeast"/>
        <w:ind w:firstLine="5120"/>
        <w:jc w:val="both"/>
        <w:textAlignment w:val="baseline"/>
        <w:rPr>
          <w:rFonts w:ascii="仿宋" w:hAnsi="仿宋" w:eastAsia="仿宋"/>
          <w:color w:val="505050"/>
          <w:sz w:val="32"/>
          <w:szCs w:val="32"/>
        </w:rPr>
      </w:pPr>
    </w:p>
    <w:p w14:paraId="6FAC8105">
      <w:pPr>
        <w:pStyle w:val="5"/>
        <w:shd w:val="clear" w:color="auto" w:fill="FFFFFF"/>
        <w:spacing w:before="0" w:beforeAutospacing="0" w:after="0" w:afterAutospacing="0" w:line="560" w:lineRule="atLeast"/>
        <w:ind w:firstLine="5120"/>
        <w:jc w:val="both"/>
        <w:textAlignment w:val="baseline"/>
        <w:rPr>
          <w:rFonts w:ascii="仿宋" w:hAnsi="仿宋" w:eastAsia="仿宋"/>
          <w:color w:val="505050"/>
          <w:sz w:val="32"/>
          <w:szCs w:val="32"/>
        </w:rPr>
      </w:pPr>
    </w:p>
    <w:p w14:paraId="3E4946DB">
      <w:pPr>
        <w:pStyle w:val="5"/>
        <w:shd w:val="clear" w:color="auto" w:fill="FFFFFF"/>
        <w:spacing w:before="0" w:beforeAutospacing="0" w:after="0" w:afterAutospacing="0" w:line="560" w:lineRule="atLeast"/>
        <w:ind w:firstLine="5120"/>
        <w:jc w:val="both"/>
        <w:textAlignment w:val="baseline"/>
        <w:rPr>
          <w:rFonts w:ascii="仿宋" w:hAnsi="仿宋" w:eastAsia="仿宋"/>
          <w:color w:val="505050"/>
          <w:sz w:val="32"/>
          <w:szCs w:val="32"/>
        </w:rPr>
      </w:pPr>
    </w:p>
    <w:p w14:paraId="30013D94">
      <w:pPr>
        <w:pStyle w:val="5"/>
        <w:shd w:val="clear" w:color="auto" w:fill="FFFFFF"/>
        <w:spacing w:before="0" w:beforeAutospacing="0" w:after="0" w:afterAutospacing="0" w:line="560" w:lineRule="atLeast"/>
        <w:ind w:firstLine="5120"/>
        <w:jc w:val="both"/>
        <w:textAlignment w:val="baseline"/>
        <w:rPr>
          <w:rFonts w:ascii="仿宋" w:hAnsi="仿宋" w:eastAsia="仿宋"/>
          <w:color w:val="505050"/>
          <w:sz w:val="32"/>
          <w:szCs w:val="32"/>
        </w:rPr>
      </w:pPr>
    </w:p>
    <w:p w14:paraId="0D22AD3F">
      <w:pPr>
        <w:pStyle w:val="5"/>
        <w:shd w:val="clear" w:color="auto" w:fill="FFFFFF"/>
        <w:spacing w:before="0" w:beforeAutospacing="0" w:after="0" w:afterAutospacing="0" w:line="560" w:lineRule="atLeast"/>
        <w:ind w:firstLine="5120"/>
        <w:jc w:val="both"/>
        <w:textAlignment w:val="baseline"/>
        <w:rPr>
          <w:rFonts w:ascii="仿宋" w:hAnsi="仿宋" w:eastAsia="仿宋"/>
          <w:color w:val="505050"/>
          <w:sz w:val="32"/>
          <w:szCs w:val="32"/>
        </w:rPr>
      </w:pPr>
    </w:p>
    <w:tbl>
      <w:tblPr>
        <w:tblStyle w:val="6"/>
        <w:tblW w:w="9555" w:type="dxa"/>
        <w:jc w:val="center"/>
        <w:tblLayout w:type="fixed"/>
        <w:tblCellMar>
          <w:top w:w="0" w:type="dxa"/>
          <w:left w:w="108" w:type="dxa"/>
          <w:bottom w:w="0" w:type="dxa"/>
          <w:right w:w="108" w:type="dxa"/>
        </w:tblCellMar>
      </w:tblPr>
      <w:tblGrid>
        <w:gridCol w:w="7755"/>
        <w:gridCol w:w="720"/>
        <w:gridCol w:w="1080"/>
      </w:tblGrid>
      <w:tr w14:paraId="5E3E8064">
        <w:tblPrEx>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vAlign w:val="center"/>
          </w:tcPr>
          <w:p w14:paraId="051DCEEA">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东城区园林绿化局</w:t>
            </w:r>
          </w:p>
          <w:p w14:paraId="7BC85067">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14:paraId="1A3C9445">
        <w:tblPrEx>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vAlign w:val="center"/>
          </w:tcPr>
          <w:p w14:paraId="4E45F764">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（2018年度）</w:t>
            </w:r>
          </w:p>
        </w:tc>
      </w:tr>
      <w:tr w14:paraId="7B4694C0">
        <w:tblPrEx>
          <w:tblCellMar>
            <w:top w:w="0" w:type="dxa"/>
            <w:left w:w="108" w:type="dxa"/>
            <w:bottom w:w="0" w:type="dxa"/>
            <w:right w:w="108" w:type="dxa"/>
          </w:tblCellMar>
        </w:tblPrEx>
        <w:trPr>
          <w:trHeight w:val="405" w:hRule="atLeast"/>
          <w:jc w:val="center"/>
        </w:trPr>
        <w:tc>
          <w:tcPr>
            <w:tcW w:w="7755" w:type="dxa"/>
            <w:tcBorders>
              <w:top w:val="nil"/>
              <w:left w:val="nil"/>
              <w:bottom w:val="nil"/>
              <w:right w:val="nil"/>
            </w:tcBorders>
            <w:shd w:val="clear" w:color="FFFFFF" w:fill="auto"/>
            <w:vAlign w:val="center"/>
          </w:tcPr>
          <w:p w14:paraId="6377A0EE">
            <w:pPr>
              <w:widowControl/>
              <w:jc w:val="left"/>
              <w:rPr>
                <w:rFonts w:ascii="宋体" w:hAnsi="宋体" w:cs="宋体"/>
                <w:color w:val="000000"/>
                <w:kern w:val="0"/>
                <w:sz w:val="22"/>
              </w:rPr>
            </w:pPr>
          </w:p>
        </w:tc>
        <w:tc>
          <w:tcPr>
            <w:tcW w:w="720" w:type="dxa"/>
            <w:tcBorders>
              <w:top w:val="nil"/>
              <w:left w:val="nil"/>
              <w:bottom w:val="nil"/>
              <w:right w:val="nil"/>
            </w:tcBorders>
            <w:shd w:val="clear" w:color="FFFFFF" w:fill="auto"/>
            <w:vAlign w:val="center"/>
          </w:tcPr>
          <w:p w14:paraId="7D96A159">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vAlign w:val="center"/>
          </w:tcPr>
          <w:p w14:paraId="7A568319">
            <w:pPr>
              <w:widowControl/>
              <w:jc w:val="left"/>
              <w:rPr>
                <w:rFonts w:ascii="宋体" w:hAnsi="宋体" w:cs="宋体"/>
                <w:color w:val="000000"/>
                <w:kern w:val="0"/>
                <w:sz w:val="22"/>
              </w:rPr>
            </w:pPr>
          </w:p>
        </w:tc>
      </w:tr>
      <w:tr w14:paraId="5EF5B8BD">
        <w:tblPrEx>
          <w:tblCellMar>
            <w:top w:w="0" w:type="dxa"/>
            <w:left w:w="108" w:type="dxa"/>
            <w:bottom w:w="0" w:type="dxa"/>
            <w:right w:w="108" w:type="dxa"/>
          </w:tblCellMar>
        </w:tblPrEx>
        <w:trPr>
          <w:trHeight w:val="300" w:hRule="atLeast"/>
          <w:jc w:val="center"/>
        </w:trPr>
        <w:tc>
          <w:tcPr>
            <w:tcW w:w="7755" w:type="dxa"/>
            <w:tcBorders>
              <w:top w:val="nil"/>
              <w:left w:val="nil"/>
              <w:bottom w:val="single" w:color="auto" w:sz="8" w:space="0"/>
              <w:right w:val="nil"/>
            </w:tcBorders>
            <w:shd w:val="clear" w:color="FFFFFF" w:fill="auto"/>
            <w:vAlign w:val="center"/>
          </w:tcPr>
          <w:p w14:paraId="0501CB98">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w:t>
            </w:r>
          </w:p>
        </w:tc>
        <w:tc>
          <w:tcPr>
            <w:tcW w:w="720" w:type="dxa"/>
            <w:tcBorders>
              <w:top w:val="nil"/>
              <w:left w:val="nil"/>
              <w:bottom w:val="single" w:color="auto" w:sz="8" w:space="0"/>
              <w:right w:val="nil"/>
            </w:tcBorders>
            <w:shd w:val="clear" w:color="FFFFFF" w:fill="auto"/>
            <w:vAlign w:val="center"/>
          </w:tcPr>
          <w:p w14:paraId="2AC25E2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vAlign w:val="center"/>
          </w:tcPr>
          <w:p w14:paraId="59FE55F4">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765A3953">
        <w:tblPrEx>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vAlign w:val="center"/>
          </w:tcPr>
          <w:p w14:paraId="3DAC53E3">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shd w:val="clear" w:color="auto" w:fill="auto"/>
            <w:vAlign w:val="center"/>
          </w:tcPr>
          <w:p w14:paraId="73F92F19">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vAlign w:val="center"/>
          </w:tcPr>
          <w:p w14:paraId="29E162AE">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319597E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3DE0B82F">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14:paraId="4A0510AC">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14:paraId="494CF6A9">
            <w:pPr>
              <w:widowControl/>
              <w:jc w:val="left"/>
              <w:rPr>
                <w:rFonts w:ascii="宋体" w:hAnsi="宋体" w:cs="宋体"/>
                <w:color w:val="000000"/>
                <w:kern w:val="0"/>
                <w:sz w:val="24"/>
              </w:rPr>
            </w:pPr>
            <w:r>
              <w:rPr>
                <w:rFonts w:hint="eastAsia" w:ascii="宋体" w:hAnsi="宋体" w:cs="宋体"/>
                <w:color w:val="000000"/>
                <w:kern w:val="0"/>
                <w:sz w:val="24"/>
              </w:rPr>
              <w:t>　</w:t>
            </w:r>
          </w:p>
        </w:tc>
      </w:tr>
      <w:tr w14:paraId="77996CDA">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679D9E8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vAlign w:val="center"/>
          </w:tcPr>
          <w:p w14:paraId="436ED6C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7CAEFFFC">
            <w:pPr>
              <w:widowControl/>
              <w:jc w:val="left"/>
              <w:rPr>
                <w:rFonts w:ascii="仿宋_GB2312" w:hAnsi="宋体" w:eastAsia="仿宋_GB2312" w:cs="宋体"/>
                <w:kern w:val="0"/>
                <w:sz w:val="24"/>
              </w:rPr>
            </w:pPr>
            <w:r>
              <w:rPr>
                <w:rFonts w:hint="eastAsia" w:ascii="仿宋_GB2312" w:hAnsi="宋体" w:eastAsia="仿宋_GB2312" w:cs="宋体"/>
                <w:kern w:val="0"/>
                <w:sz w:val="24"/>
              </w:rPr>
              <w:t>　538</w:t>
            </w:r>
          </w:p>
        </w:tc>
      </w:tr>
      <w:tr w14:paraId="52E92E5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0687B3A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shd w:val="clear" w:color="auto" w:fill="auto"/>
            <w:vAlign w:val="center"/>
          </w:tcPr>
          <w:p w14:paraId="761F73B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0570014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6508D6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shd w:val="clear" w:color="auto" w:fill="auto"/>
            <w:vAlign w:val="center"/>
          </w:tcPr>
          <w:p w14:paraId="14042E9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shd w:val="clear" w:color="auto" w:fill="auto"/>
            <w:vAlign w:val="center"/>
          </w:tcPr>
          <w:p w14:paraId="6E5E3CC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36330DE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290C95A">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14:paraId="37B8F1F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vAlign w:val="center"/>
          </w:tcPr>
          <w:p w14:paraId="5183E25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538F92A4">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76667AD4">
        <w:tblPrEx>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71C3361A">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w:t>
            </w:r>
            <w:bookmarkStart w:id="3" w:name="_GoBack"/>
            <w:bookmarkEnd w:id="3"/>
            <w:r>
              <w:rPr>
                <w:rFonts w:hint="eastAsia" w:ascii="仿宋_GB2312" w:hAnsi="宋体" w:eastAsia="仿宋_GB2312" w:cs="宋体"/>
                <w:kern w:val="0"/>
                <w:sz w:val="24"/>
              </w:rPr>
              <w:t>和行政经费信息数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140E115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33B3A043">
            <w:pPr>
              <w:widowControl/>
              <w:rPr>
                <w:rFonts w:ascii="仿宋_GB2312" w:hAnsi="宋体" w:eastAsia="仿宋_GB2312" w:cs="宋体"/>
                <w:kern w:val="0"/>
                <w:sz w:val="24"/>
              </w:rPr>
            </w:pPr>
            <w:r>
              <w:rPr>
                <w:rFonts w:hint="eastAsia" w:ascii="仿宋_GB2312" w:hAnsi="宋体" w:eastAsia="仿宋_GB2312" w:cs="宋体"/>
                <w:kern w:val="0"/>
                <w:sz w:val="24"/>
              </w:rPr>
              <w:t>　2</w:t>
            </w:r>
          </w:p>
        </w:tc>
      </w:tr>
      <w:tr w14:paraId="1BBA697E">
        <w:tblPrEx>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C024EC8">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565B6F4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3E204122">
            <w:pPr>
              <w:widowControl/>
              <w:jc w:val="center"/>
              <w:rPr>
                <w:rFonts w:ascii="仿宋_GB2312" w:hAnsi="宋体" w:eastAsia="仿宋_GB2312" w:cs="宋体"/>
                <w:kern w:val="0"/>
                <w:sz w:val="24"/>
              </w:rPr>
            </w:pPr>
            <w:r>
              <w:rPr>
                <w:rFonts w:hint="eastAsia" w:ascii="仿宋_GB2312" w:hAnsi="宋体" w:eastAsia="仿宋_GB2312" w:cs="宋体"/>
                <w:kern w:val="0"/>
                <w:sz w:val="24"/>
              </w:rPr>
              <w:t>　0</w:t>
            </w:r>
          </w:p>
        </w:tc>
      </w:tr>
      <w:tr w14:paraId="6FA4338D">
        <w:tblPrEx>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3B96C259">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61AD6C5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53F981A">
            <w:pPr>
              <w:widowControl/>
              <w:jc w:val="center"/>
              <w:rPr>
                <w:rFonts w:ascii="仿宋_GB2312" w:hAnsi="宋体" w:eastAsia="仿宋_GB2312" w:cs="宋体"/>
                <w:kern w:val="0"/>
                <w:sz w:val="24"/>
              </w:rPr>
            </w:pPr>
            <w:r>
              <w:rPr>
                <w:rFonts w:hint="eastAsia" w:ascii="仿宋_GB2312" w:hAnsi="宋体" w:eastAsia="仿宋_GB2312" w:cs="宋体"/>
                <w:kern w:val="0"/>
                <w:sz w:val="24"/>
              </w:rPr>
              <w:t>　0</w:t>
            </w:r>
          </w:p>
        </w:tc>
      </w:tr>
      <w:tr w14:paraId="22B9680D">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651D4CC7">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4BD711B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654E222C">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4357006E">
        <w:tblPrEx>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909D07A">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4BBF299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11613FDA">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512E1DA4">
        <w:tblPrEx>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3836E40B">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78A8597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044B5723">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32FE645B">
        <w:tblPrEx>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B0C8AAE">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09E0C14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7F948148">
            <w:pPr>
              <w:widowControl/>
              <w:jc w:val="center"/>
              <w:rPr>
                <w:rFonts w:ascii="仿宋_GB2312" w:hAnsi="宋体" w:eastAsia="仿宋_GB2312" w:cs="宋体"/>
                <w:kern w:val="0"/>
                <w:sz w:val="24"/>
              </w:rPr>
            </w:pPr>
            <w:r>
              <w:rPr>
                <w:rFonts w:hint="eastAsia" w:ascii="仿宋_GB2312" w:hAnsi="宋体" w:eastAsia="仿宋_GB2312" w:cs="宋体"/>
                <w:kern w:val="0"/>
                <w:sz w:val="24"/>
              </w:rPr>
              <w:t>　0</w:t>
            </w:r>
          </w:p>
        </w:tc>
      </w:tr>
      <w:tr w14:paraId="0B1495A5">
        <w:tblPrEx>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6691BB75">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48C9270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0DB0FDB2">
            <w:pPr>
              <w:widowControl/>
              <w:jc w:val="center"/>
              <w:rPr>
                <w:rFonts w:ascii="仿宋_GB2312" w:hAnsi="宋体" w:eastAsia="仿宋_GB2312" w:cs="宋体"/>
                <w:kern w:val="0"/>
                <w:sz w:val="24"/>
              </w:rPr>
            </w:pPr>
            <w:r>
              <w:rPr>
                <w:rFonts w:hint="eastAsia" w:ascii="仿宋_GB2312" w:hAnsi="宋体" w:eastAsia="仿宋_GB2312" w:cs="宋体"/>
                <w:kern w:val="0"/>
                <w:sz w:val="24"/>
              </w:rPr>
              <w:t>　0</w:t>
            </w:r>
          </w:p>
        </w:tc>
      </w:tr>
      <w:tr w14:paraId="0EAAD8FA">
        <w:tblPrEx>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BF52D8F">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2662563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6DB46007">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7F293597">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BC5F2F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7F2DD9A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1D28E21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D17AC76">
        <w:tblPrEx>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1DBAC9F">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14:paraId="17D1795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14:paraId="51D04B5B">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1B3B4789">
        <w:tblPrEx>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926350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14:paraId="4382447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6588F562">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7C6CF758">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6DBA14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vAlign w:val="center"/>
          </w:tcPr>
          <w:p w14:paraId="2567AAA1">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vAlign w:val="center"/>
          </w:tcPr>
          <w:p w14:paraId="38150750">
            <w:pPr>
              <w:widowControl/>
              <w:jc w:val="left"/>
              <w:rPr>
                <w:rFonts w:ascii="仿宋_GB2312" w:hAnsi="宋体" w:eastAsia="仿宋_GB2312" w:cs="宋体"/>
                <w:kern w:val="0"/>
                <w:sz w:val="24"/>
              </w:rPr>
            </w:pPr>
            <w:r>
              <w:rPr>
                <w:rFonts w:hint="eastAsia" w:ascii="仿宋_GB2312" w:hAnsi="宋体" w:eastAsia="仿宋_GB2312" w:cs="宋体"/>
                <w:kern w:val="0"/>
                <w:sz w:val="24"/>
              </w:rPr>
              <w:t>　538</w:t>
            </w:r>
          </w:p>
        </w:tc>
      </w:tr>
      <w:tr w14:paraId="31B2C800">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5D39D4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shd w:val="clear" w:color="auto" w:fill="auto"/>
            <w:vAlign w:val="center"/>
          </w:tcPr>
          <w:p w14:paraId="4960F99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15225FA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0D07769">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FC31CF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shd w:val="clear" w:color="auto" w:fill="auto"/>
            <w:vAlign w:val="center"/>
          </w:tcPr>
          <w:p w14:paraId="3A9656D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1C66F425">
            <w:pPr>
              <w:widowControl/>
              <w:jc w:val="left"/>
              <w:rPr>
                <w:rFonts w:ascii="仿宋_GB2312" w:hAnsi="宋体" w:eastAsia="仿宋_GB2312" w:cs="宋体"/>
                <w:kern w:val="0"/>
                <w:sz w:val="24"/>
              </w:rPr>
            </w:pPr>
            <w:r>
              <w:rPr>
                <w:rFonts w:hint="eastAsia" w:ascii="仿宋_GB2312" w:hAnsi="宋体" w:eastAsia="仿宋_GB2312" w:cs="宋体"/>
                <w:kern w:val="0"/>
                <w:sz w:val="24"/>
              </w:rPr>
              <w:t>　529</w:t>
            </w:r>
          </w:p>
        </w:tc>
      </w:tr>
      <w:tr w14:paraId="12136981">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0BEF23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shd w:val="clear" w:color="auto" w:fill="auto"/>
            <w:vAlign w:val="center"/>
          </w:tcPr>
          <w:p w14:paraId="21EF97A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0970CFAF">
            <w:pPr>
              <w:widowControl/>
              <w:jc w:val="left"/>
              <w:rPr>
                <w:rFonts w:ascii="仿宋_GB2312" w:hAnsi="宋体" w:eastAsia="仿宋_GB2312" w:cs="宋体"/>
                <w:kern w:val="0"/>
                <w:sz w:val="24"/>
              </w:rPr>
            </w:pPr>
            <w:r>
              <w:rPr>
                <w:rFonts w:hint="eastAsia" w:ascii="仿宋_GB2312" w:hAnsi="宋体" w:eastAsia="仿宋_GB2312" w:cs="宋体"/>
                <w:kern w:val="0"/>
                <w:sz w:val="24"/>
              </w:rPr>
              <w:t>　9</w:t>
            </w:r>
          </w:p>
        </w:tc>
      </w:tr>
      <w:tr w14:paraId="241DEA66">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D051D3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shd w:val="clear" w:color="auto" w:fill="auto"/>
            <w:vAlign w:val="center"/>
          </w:tcPr>
          <w:p w14:paraId="7A3DA30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6AE2BE5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5CD0D48">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61E1F8A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shd w:val="clear" w:color="auto" w:fill="auto"/>
            <w:vAlign w:val="center"/>
          </w:tcPr>
          <w:p w14:paraId="6D2713A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7293EE0">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58592B5">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37FEC013">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14:paraId="7CBC3826">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14:paraId="505C5508">
            <w:pPr>
              <w:widowControl/>
              <w:jc w:val="left"/>
              <w:rPr>
                <w:rFonts w:ascii="宋体" w:hAnsi="宋体" w:cs="宋体"/>
                <w:color w:val="000000"/>
                <w:kern w:val="0"/>
                <w:sz w:val="24"/>
              </w:rPr>
            </w:pPr>
            <w:r>
              <w:rPr>
                <w:rFonts w:hint="eastAsia" w:ascii="宋体" w:hAnsi="宋体" w:cs="宋体"/>
                <w:color w:val="000000"/>
                <w:kern w:val="0"/>
                <w:sz w:val="24"/>
              </w:rPr>
              <w:t>　</w:t>
            </w:r>
          </w:p>
        </w:tc>
      </w:tr>
      <w:tr w14:paraId="521B52B0">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5019395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vAlign w:val="center"/>
          </w:tcPr>
          <w:p w14:paraId="382DA81B">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14:paraId="31773EF5">
            <w:pPr>
              <w:widowControl/>
              <w:jc w:val="left"/>
              <w:rPr>
                <w:rFonts w:ascii="仿宋_GB2312" w:hAnsi="宋体" w:eastAsia="仿宋_GB2312" w:cs="宋体"/>
                <w:kern w:val="0"/>
                <w:sz w:val="24"/>
              </w:rPr>
            </w:pPr>
            <w:r>
              <w:rPr>
                <w:rFonts w:hint="eastAsia" w:ascii="仿宋_GB2312" w:hAnsi="宋体" w:eastAsia="仿宋_GB2312" w:cs="宋体"/>
                <w:kern w:val="0"/>
                <w:sz w:val="24"/>
              </w:rPr>
              <w:t>　39</w:t>
            </w:r>
          </w:p>
        </w:tc>
      </w:tr>
      <w:tr w14:paraId="3F96D842">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552440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14:paraId="6FDD294A">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vAlign w:val="center"/>
          </w:tcPr>
          <w:p w14:paraId="1BAFFA9E">
            <w:pPr>
              <w:widowControl/>
              <w:jc w:val="left"/>
              <w:rPr>
                <w:rFonts w:ascii="仿宋_GB2312" w:hAnsi="宋体" w:eastAsia="仿宋_GB2312" w:cs="宋体"/>
                <w:kern w:val="0"/>
                <w:sz w:val="24"/>
              </w:rPr>
            </w:pPr>
            <w:r>
              <w:rPr>
                <w:rFonts w:hint="eastAsia" w:ascii="仿宋_GB2312" w:hAnsi="宋体" w:eastAsia="仿宋_GB2312" w:cs="宋体"/>
                <w:kern w:val="0"/>
                <w:sz w:val="24"/>
              </w:rPr>
              <w:t>　3</w:t>
            </w:r>
          </w:p>
        </w:tc>
      </w:tr>
      <w:tr w14:paraId="2AAA0E37">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F52D9D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vAlign w:val="center"/>
          </w:tcPr>
          <w:p w14:paraId="305D70A8">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14:paraId="688FA4D0">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DDDE266">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5C5240B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vAlign w:val="center"/>
          </w:tcPr>
          <w:p w14:paraId="6BCDA333">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14:paraId="189ADFB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6C1228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3975D9B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shd w:val="clear" w:color="auto" w:fill="auto"/>
            <w:vAlign w:val="center"/>
          </w:tcPr>
          <w:p w14:paraId="68AA62A9">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14:paraId="54185FE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A7F095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483644A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vAlign w:val="center"/>
          </w:tcPr>
          <w:p w14:paraId="72EDACDD">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14:paraId="0102637D">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A69CF0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6762B35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shd w:val="clear" w:color="auto" w:fill="auto"/>
            <w:vAlign w:val="center"/>
          </w:tcPr>
          <w:p w14:paraId="074107AF">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vAlign w:val="center"/>
          </w:tcPr>
          <w:p w14:paraId="43DAE7B7">
            <w:pPr>
              <w:widowControl/>
              <w:jc w:val="left"/>
              <w:rPr>
                <w:rFonts w:ascii="仿宋_GB2312" w:hAnsi="宋体" w:eastAsia="仿宋_GB2312" w:cs="宋体"/>
                <w:kern w:val="0"/>
                <w:sz w:val="24"/>
              </w:rPr>
            </w:pPr>
            <w:r>
              <w:rPr>
                <w:rFonts w:hint="eastAsia" w:ascii="仿宋_GB2312" w:hAnsi="宋体" w:eastAsia="仿宋_GB2312" w:cs="宋体"/>
                <w:kern w:val="0"/>
                <w:sz w:val="24"/>
              </w:rPr>
              <w:t>　3</w:t>
            </w:r>
          </w:p>
        </w:tc>
      </w:tr>
      <w:tr w14:paraId="3EE493B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1D47803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shd w:val="clear" w:color="auto" w:fill="auto"/>
            <w:vAlign w:val="center"/>
          </w:tcPr>
          <w:p w14:paraId="18B74D65">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14:paraId="2CC0F88D">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58F303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666FD91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shd w:val="clear" w:color="auto" w:fill="auto"/>
            <w:vAlign w:val="center"/>
          </w:tcPr>
          <w:p w14:paraId="50E84B0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14:paraId="469AA69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E4C367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37A8484D">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14:paraId="6BBC86B4">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14:paraId="613E751B">
            <w:pPr>
              <w:widowControl/>
              <w:jc w:val="left"/>
              <w:rPr>
                <w:rFonts w:ascii="宋体" w:hAnsi="宋体" w:cs="宋体"/>
                <w:color w:val="000000"/>
                <w:kern w:val="0"/>
                <w:sz w:val="24"/>
              </w:rPr>
            </w:pPr>
            <w:r>
              <w:rPr>
                <w:rFonts w:hint="eastAsia" w:ascii="宋体" w:hAnsi="宋体" w:cs="宋体"/>
                <w:color w:val="000000"/>
                <w:kern w:val="0"/>
                <w:sz w:val="24"/>
              </w:rPr>
              <w:t>　0</w:t>
            </w:r>
          </w:p>
        </w:tc>
      </w:tr>
      <w:tr w14:paraId="05C8306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15B1AB0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shd w:val="clear" w:color="auto" w:fill="auto"/>
            <w:vAlign w:val="center"/>
          </w:tcPr>
          <w:p w14:paraId="0AB661E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4CAB9E2E">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874B0C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155D4F5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shd w:val="clear" w:color="auto" w:fill="auto"/>
            <w:vAlign w:val="center"/>
          </w:tcPr>
          <w:p w14:paraId="0995879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6653080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9DE481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37F37DA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shd w:val="clear" w:color="auto" w:fill="auto"/>
            <w:vAlign w:val="center"/>
          </w:tcPr>
          <w:p w14:paraId="0CCA5D4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6A09805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D86DD9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114B2D3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shd w:val="clear" w:color="auto" w:fill="auto"/>
            <w:vAlign w:val="center"/>
          </w:tcPr>
          <w:p w14:paraId="15F027D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3523DF9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D147A2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771FC55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shd w:val="clear" w:color="auto" w:fill="auto"/>
            <w:vAlign w:val="center"/>
          </w:tcPr>
          <w:p w14:paraId="14AAB5A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6BCE15E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D6DCDC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24074DB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shd w:val="clear" w:color="auto" w:fill="auto"/>
            <w:vAlign w:val="center"/>
          </w:tcPr>
          <w:p w14:paraId="5183E16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5FBAFF60">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A09299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74BBFE0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shd w:val="clear" w:color="auto" w:fill="auto"/>
            <w:vAlign w:val="center"/>
          </w:tcPr>
          <w:p w14:paraId="54DA72B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1E658EC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43930A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698DA15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shd w:val="clear" w:color="auto" w:fill="auto"/>
            <w:vAlign w:val="center"/>
          </w:tcPr>
          <w:p w14:paraId="5B2B3BF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4C25756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94CB3F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57C1AC9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shd w:val="clear" w:color="auto" w:fill="auto"/>
            <w:vAlign w:val="center"/>
          </w:tcPr>
          <w:p w14:paraId="3CE84E2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1441149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02F0A1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26A8571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shd w:val="clear" w:color="auto" w:fill="auto"/>
            <w:vAlign w:val="center"/>
          </w:tcPr>
          <w:p w14:paraId="44F8469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5F02E05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4F0776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047AB8E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shd w:val="clear" w:color="auto" w:fill="auto"/>
            <w:vAlign w:val="center"/>
          </w:tcPr>
          <w:p w14:paraId="1693413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42CA7FE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203B5A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69E39CB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shd w:val="clear" w:color="auto" w:fill="auto"/>
            <w:vAlign w:val="center"/>
          </w:tcPr>
          <w:p w14:paraId="2ACF383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1E54E3B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2BF7D4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52630F8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shd w:val="clear" w:color="auto" w:fill="auto"/>
            <w:vAlign w:val="center"/>
          </w:tcPr>
          <w:p w14:paraId="19E91DB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1652582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216C0C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4FBE5141">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shd w:val="clear" w:color="auto" w:fill="auto"/>
            <w:vAlign w:val="center"/>
          </w:tcPr>
          <w:p w14:paraId="2A43A16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65D490C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B300DA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6923BA8E">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shd w:val="clear" w:color="auto" w:fill="auto"/>
            <w:vAlign w:val="center"/>
          </w:tcPr>
          <w:p w14:paraId="5E4E75E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00962C5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E6F8E1B">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BEB820D">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vAlign w:val="center"/>
          </w:tcPr>
          <w:p w14:paraId="0397004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CEF45F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BE86F0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00389198">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vAlign w:val="center"/>
          </w:tcPr>
          <w:p w14:paraId="6965B14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25B3FB2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4B38EC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67772272">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shd w:val="clear" w:color="auto" w:fill="auto"/>
            <w:vAlign w:val="center"/>
          </w:tcPr>
          <w:p w14:paraId="7DAFAE7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7EA32E2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57E02C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74169DAA">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shd w:val="clear" w:color="auto" w:fill="auto"/>
            <w:vAlign w:val="center"/>
          </w:tcPr>
          <w:p w14:paraId="4A01ADB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6081377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9AD1ED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72D5EA8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shd w:val="clear" w:color="auto" w:fill="auto"/>
            <w:vAlign w:val="center"/>
          </w:tcPr>
          <w:p w14:paraId="27C7FD5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597D89F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AAFF2B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07C0369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shd w:val="clear" w:color="auto" w:fill="auto"/>
            <w:vAlign w:val="center"/>
          </w:tcPr>
          <w:p w14:paraId="04EEF8F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68139E9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E6ACA3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02E36C1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shd w:val="clear" w:color="auto" w:fill="auto"/>
            <w:vAlign w:val="center"/>
          </w:tcPr>
          <w:p w14:paraId="6B6BAE7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74B0C75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666B37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0F9929E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shd w:val="clear" w:color="auto" w:fill="auto"/>
            <w:vAlign w:val="center"/>
          </w:tcPr>
          <w:p w14:paraId="071C52D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53F0771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345DFE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72AD28B9">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shd w:val="clear" w:color="auto" w:fill="auto"/>
            <w:vAlign w:val="center"/>
          </w:tcPr>
          <w:p w14:paraId="00B50568">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4068F5AA">
            <w:pPr>
              <w:widowControl/>
              <w:jc w:val="left"/>
              <w:rPr>
                <w:rFonts w:ascii="宋体" w:hAnsi="宋体" w:cs="宋体"/>
                <w:color w:val="000000"/>
                <w:kern w:val="0"/>
                <w:sz w:val="24"/>
              </w:rPr>
            </w:pPr>
            <w:r>
              <w:rPr>
                <w:rFonts w:hint="eastAsia" w:ascii="宋体" w:hAnsi="宋体" w:cs="宋体"/>
                <w:color w:val="000000"/>
                <w:kern w:val="0"/>
                <w:sz w:val="24"/>
              </w:rPr>
              <w:t>　0</w:t>
            </w:r>
          </w:p>
        </w:tc>
      </w:tr>
      <w:tr w14:paraId="1870C7B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0C00FB3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shd w:val="clear" w:color="auto" w:fill="auto"/>
            <w:vAlign w:val="center"/>
          </w:tcPr>
          <w:p w14:paraId="7F02080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2A2FB06D">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38B5E3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0B11564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vAlign w:val="center"/>
          </w:tcPr>
          <w:p w14:paraId="4A416B8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35F120F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C00BDE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3FBAB5B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vAlign w:val="center"/>
          </w:tcPr>
          <w:p w14:paraId="6699601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282982F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0F599E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4EC52CE4">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shd w:val="clear" w:color="auto" w:fill="auto"/>
            <w:vAlign w:val="center"/>
          </w:tcPr>
          <w:p w14:paraId="71762C51">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5991FED8">
            <w:pPr>
              <w:widowControl/>
              <w:jc w:val="left"/>
              <w:rPr>
                <w:rFonts w:ascii="宋体" w:hAnsi="宋体" w:cs="宋体"/>
                <w:color w:val="000000"/>
                <w:kern w:val="0"/>
                <w:sz w:val="24"/>
              </w:rPr>
            </w:pPr>
            <w:r>
              <w:rPr>
                <w:rFonts w:hint="eastAsia" w:ascii="宋体" w:hAnsi="宋体" w:cs="宋体"/>
                <w:color w:val="000000"/>
                <w:kern w:val="0"/>
                <w:sz w:val="24"/>
              </w:rPr>
              <w:t>　0</w:t>
            </w:r>
          </w:p>
        </w:tc>
      </w:tr>
      <w:tr w14:paraId="4E01927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71E63F3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shd w:val="clear" w:color="auto" w:fill="auto"/>
            <w:vAlign w:val="center"/>
          </w:tcPr>
          <w:p w14:paraId="2700351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357F515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8B82A1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2F2133F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vAlign w:val="center"/>
          </w:tcPr>
          <w:p w14:paraId="4AE3189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3D9D0CE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485910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6F76E13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vAlign w:val="center"/>
          </w:tcPr>
          <w:p w14:paraId="3272D83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2B3EA8C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EDF1D9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6E0BD2CC">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shd w:val="clear" w:color="auto" w:fill="auto"/>
            <w:vAlign w:val="center"/>
          </w:tcPr>
          <w:p w14:paraId="0E652952">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14:paraId="09B4009D">
            <w:pPr>
              <w:widowControl/>
              <w:jc w:val="left"/>
              <w:rPr>
                <w:rFonts w:ascii="宋体" w:hAnsi="宋体" w:cs="宋体"/>
                <w:color w:val="000000"/>
                <w:kern w:val="0"/>
                <w:sz w:val="24"/>
              </w:rPr>
            </w:pPr>
            <w:r>
              <w:rPr>
                <w:rFonts w:hint="eastAsia" w:ascii="宋体" w:hAnsi="宋体" w:cs="宋体"/>
                <w:color w:val="000000"/>
                <w:kern w:val="0"/>
                <w:sz w:val="24"/>
              </w:rPr>
              <w:t>　0</w:t>
            </w:r>
          </w:p>
        </w:tc>
      </w:tr>
      <w:tr w14:paraId="5AE976C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30B856CC">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shd w:val="clear" w:color="auto" w:fill="auto"/>
            <w:vAlign w:val="center"/>
          </w:tcPr>
          <w:p w14:paraId="6FF39509">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14:paraId="1F0C015F">
            <w:pPr>
              <w:widowControl/>
              <w:jc w:val="left"/>
              <w:rPr>
                <w:rFonts w:ascii="宋体" w:hAnsi="宋体" w:cs="宋体"/>
                <w:color w:val="000000"/>
                <w:kern w:val="0"/>
                <w:sz w:val="24"/>
              </w:rPr>
            </w:pPr>
            <w:r>
              <w:rPr>
                <w:rFonts w:hint="eastAsia" w:ascii="宋体" w:hAnsi="宋体" w:cs="宋体"/>
                <w:color w:val="000000"/>
                <w:kern w:val="0"/>
                <w:sz w:val="24"/>
              </w:rPr>
              <w:t>　0</w:t>
            </w:r>
          </w:p>
        </w:tc>
      </w:tr>
      <w:tr w14:paraId="780EF88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0FF4593E">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14:paraId="760E232D">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14:paraId="100021A2">
            <w:pPr>
              <w:widowControl/>
              <w:jc w:val="left"/>
              <w:rPr>
                <w:rFonts w:ascii="宋体" w:hAnsi="宋体" w:cs="宋体"/>
                <w:color w:val="000000"/>
                <w:kern w:val="0"/>
                <w:sz w:val="24"/>
              </w:rPr>
            </w:pPr>
            <w:r>
              <w:rPr>
                <w:rFonts w:hint="eastAsia" w:ascii="宋体" w:hAnsi="宋体" w:cs="宋体"/>
                <w:color w:val="000000"/>
                <w:kern w:val="0"/>
                <w:sz w:val="24"/>
              </w:rPr>
              <w:t>　</w:t>
            </w:r>
          </w:p>
        </w:tc>
      </w:tr>
      <w:tr w14:paraId="33C3BFD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438F850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vAlign w:val="center"/>
          </w:tcPr>
          <w:p w14:paraId="4660DC01">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14:paraId="029791BE">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FB8992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102A26F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shd w:val="clear" w:color="auto" w:fill="auto"/>
            <w:vAlign w:val="center"/>
          </w:tcPr>
          <w:p w14:paraId="412E8F7E">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14:paraId="0EDA7E64">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239F411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5BAD750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vAlign w:val="center"/>
          </w:tcPr>
          <w:p w14:paraId="0491420E">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14:paraId="3728EC91">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1E1C961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2461D72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vAlign w:val="center"/>
          </w:tcPr>
          <w:p w14:paraId="6D53FDDF">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14:paraId="0E913BA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1E839A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2FC1B60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shd w:val="clear" w:color="auto" w:fill="auto"/>
            <w:vAlign w:val="center"/>
          </w:tcPr>
          <w:p w14:paraId="19E64855">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14:paraId="3380AB00">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313AC58F">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6BFC53CD">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vAlign w:val="center"/>
          </w:tcPr>
          <w:p w14:paraId="25D61655">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14:paraId="468DFCB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A9074B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26948946">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14:paraId="33DAF169">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14:paraId="0B451B76">
            <w:pPr>
              <w:widowControl/>
              <w:jc w:val="left"/>
              <w:rPr>
                <w:rFonts w:ascii="宋体" w:hAnsi="宋体" w:cs="宋体"/>
                <w:color w:val="000000"/>
                <w:kern w:val="0"/>
                <w:sz w:val="24"/>
              </w:rPr>
            </w:pPr>
            <w:r>
              <w:rPr>
                <w:rFonts w:hint="eastAsia" w:ascii="宋体" w:hAnsi="宋体" w:cs="宋体"/>
                <w:color w:val="000000"/>
                <w:kern w:val="0"/>
                <w:sz w:val="24"/>
              </w:rPr>
              <w:t>　</w:t>
            </w:r>
          </w:p>
        </w:tc>
      </w:tr>
      <w:tr w14:paraId="710F084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0D7FE6D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vAlign w:val="center"/>
          </w:tcPr>
          <w:p w14:paraId="1394AF0A">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14:paraId="01B0FF6B">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5AA0848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70AE683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shd w:val="clear" w:color="auto" w:fill="auto"/>
            <w:vAlign w:val="center"/>
          </w:tcPr>
          <w:p w14:paraId="464B5739">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14:paraId="587EB3EE">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47D90E4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vAlign w:val="center"/>
          </w:tcPr>
          <w:p w14:paraId="3F702D4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shd w:val="clear" w:color="auto" w:fill="auto"/>
            <w:vAlign w:val="center"/>
          </w:tcPr>
          <w:p w14:paraId="164A4C9A">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vAlign w:val="center"/>
          </w:tcPr>
          <w:p w14:paraId="6D839CB2">
            <w:pPr>
              <w:widowControl/>
              <w:jc w:val="left"/>
              <w:rPr>
                <w:rFonts w:ascii="仿宋_GB2312" w:hAnsi="宋体" w:eastAsia="仿宋_GB2312" w:cs="宋体"/>
                <w:kern w:val="0"/>
                <w:sz w:val="24"/>
              </w:rPr>
            </w:pPr>
            <w:r>
              <w:rPr>
                <w:rFonts w:hint="eastAsia" w:ascii="仿宋_GB2312" w:hAnsi="宋体" w:eastAsia="仿宋_GB2312" w:cs="宋体"/>
                <w:kern w:val="0"/>
                <w:sz w:val="24"/>
              </w:rPr>
              <w:t>　30</w:t>
            </w:r>
          </w:p>
        </w:tc>
      </w:tr>
      <w:tr w14:paraId="63E1173D">
        <w:tblPrEx>
          <w:tblCellMar>
            <w:top w:w="0" w:type="dxa"/>
            <w:left w:w="108" w:type="dxa"/>
            <w:bottom w:w="0" w:type="dxa"/>
            <w:right w:w="108" w:type="dxa"/>
          </w:tblCellMar>
        </w:tblPrEx>
        <w:trPr>
          <w:trHeight w:val="402" w:hRule="atLeast"/>
          <w:jc w:val="center"/>
        </w:trPr>
        <w:tc>
          <w:tcPr>
            <w:tcW w:w="9555" w:type="dxa"/>
            <w:gridSpan w:val="3"/>
            <w:tcBorders>
              <w:top w:val="single" w:color="auto" w:sz="8" w:space="0"/>
              <w:left w:val="nil"/>
              <w:bottom w:val="nil"/>
              <w:right w:val="nil"/>
            </w:tcBorders>
            <w:shd w:val="clear" w:color="auto" w:fill="auto"/>
            <w:vAlign w:val="center"/>
          </w:tcPr>
          <w:p w14:paraId="2D8128C5">
            <w:pPr>
              <w:widowControl/>
              <w:jc w:val="left"/>
              <w:rPr>
                <w:rFonts w:ascii="仿宋_GB2312" w:hAnsi="宋体" w:eastAsia="仿宋_GB2312" w:cs="宋体"/>
                <w:kern w:val="0"/>
                <w:sz w:val="24"/>
              </w:rPr>
            </w:pPr>
          </w:p>
        </w:tc>
      </w:tr>
      <w:tr w14:paraId="74AB310B">
        <w:tblPrEx>
          <w:tblCellMar>
            <w:top w:w="0" w:type="dxa"/>
            <w:left w:w="108" w:type="dxa"/>
            <w:bottom w:w="0" w:type="dxa"/>
            <w:right w:w="108" w:type="dxa"/>
          </w:tblCellMar>
        </w:tblPrEx>
        <w:trPr>
          <w:trHeight w:val="402" w:hRule="atLeast"/>
          <w:jc w:val="center"/>
        </w:trPr>
        <w:tc>
          <w:tcPr>
            <w:tcW w:w="9555" w:type="dxa"/>
            <w:gridSpan w:val="3"/>
            <w:tcBorders>
              <w:top w:val="nil"/>
              <w:left w:val="nil"/>
              <w:bottom w:val="nil"/>
              <w:right w:val="nil"/>
            </w:tcBorders>
            <w:shd w:val="clear" w:color="auto" w:fill="auto"/>
            <w:vAlign w:val="center"/>
          </w:tcPr>
          <w:p w14:paraId="653603FA">
            <w:pPr>
              <w:widowControl/>
              <w:jc w:val="left"/>
              <w:rPr>
                <w:rFonts w:ascii="仿宋_GB2312" w:hAnsi="宋体" w:eastAsia="仿宋_GB2312" w:cs="宋体"/>
                <w:kern w:val="0"/>
                <w:sz w:val="24"/>
              </w:rPr>
            </w:pPr>
          </w:p>
        </w:tc>
      </w:tr>
      <w:bookmarkEnd w:id="0"/>
      <w:bookmarkEnd w:id="1"/>
      <w:bookmarkEnd w:id="2"/>
    </w:tbl>
    <w:p w14:paraId="00DDD8DA">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B0EFDF-0B9D-4668-95E6-553D82992E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5418C38-2F7B-48C6-A43B-899F366BD296}"/>
  </w:font>
  <w:font w:name="方正小标宋简体">
    <w:panose1 w:val="02000000000000000000"/>
    <w:charset w:val="86"/>
    <w:family w:val="auto"/>
    <w:pitch w:val="default"/>
    <w:sig w:usb0="00000001" w:usb1="08000000" w:usb2="00000000" w:usb3="00000000" w:csb0="00040000" w:csb1="00000000"/>
    <w:embedRegular r:id="rId3" w:fontKey="{C0D7CDCF-EA3A-4A03-A463-2342791901CD}"/>
  </w:font>
  <w:font w:name="楷体">
    <w:panose1 w:val="02010609060101010101"/>
    <w:charset w:val="86"/>
    <w:family w:val="modern"/>
    <w:pitch w:val="default"/>
    <w:sig w:usb0="800002BF" w:usb1="38CF7CFA" w:usb2="00000016" w:usb3="00000000" w:csb0="00040001" w:csb1="00000000"/>
    <w:embedRegular r:id="rId4" w:fontKey="{386110B1-5E92-4387-8984-15C88AAD7629}"/>
  </w:font>
  <w:font w:name="仿宋">
    <w:panose1 w:val="02010609060101010101"/>
    <w:charset w:val="86"/>
    <w:family w:val="modern"/>
    <w:pitch w:val="default"/>
    <w:sig w:usb0="800002BF" w:usb1="38CF7CFA" w:usb2="00000016" w:usb3="00000000" w:csb0="00040001" w:csb1="00000000"/>
    <w:embedRegular r:id="rId5" w:fontKey="{8499E006-2167-4F88-9F5C-05F4E740593A}"/>
  </w:font>
  <w:font w:name="楷体_GB2312">
    <w:altName w:val="楷体"/>
    <w:panose1 w:val="02010609030101010101"/>
    <w:charset w:val="86"/>
    <w:family w:val="modern"/>
    <w:pitch w:val="default"/>
    <w:sig w:usb0="00000000" w:usb1="00000000" w:usb2="00000000" w:usb3="00000000" w:csb0="00040000" w:csb1="00000000"/>
    <w:embedRegular r:id="rId6" w:fontKey="{D6420307-EAC1-4191-9528-46FE6F17B65E}"/>
  </w:font>
  <w:font w:name="仿宋_GB2312">
    <w:panose1 w:val="02010609030101010101"/>
    <w:charset w:val="86"/>
    <w:family w:val="modern"/>
    <w:pitch w:val="default"/>
    <w:sig w:usb0="00000001" w:usb1="080E0000" w:usb2="00000000" w:usb3="00000000" w:csb0="00040000" w:csb1="00000000"/>
    <w:embedRegular r:id="rId7" w:fontKey="{2C6431AC-281F-4A28-AA66-302E78DB6DD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13"/>
    <w:rsid w:val="000A68F0"/>
    <w:rsid w:val="00144205"/>
    <w:rsid w:val="001641C5"/>
    <w:rsid w:val="001C0055"/>
    <w:rsid w:val="001C1835"/>
    <w:rsid w:val="001F0A08"/>
    <w:rsid w:val="002058AD"/>
    <w:rsid w:val="00256F27"/>
    <w:rsid w:val="00262660"/>
    <w:rsid w:val="0027469C"/>
    <w:rsid w:val="00290D38"/>
    <w:rsid w:val="00294467"/>
    <w:rsid w:val="002F275A"/>
    <w:rsid w:val="003064CD"/>
    <w:rsid w:val="00316911"/>
    <w:rsid w:val="00322A8E"/>
    <w:rsid w:val="00334393"/>
    <w:rsid w:val="00367647"/>
    <w:rsid w:val="003A77F0"/>
    <w:rsid w:val="003F28F6"/>
    <w:rsid w:val="00405B4F"/>
    <w:rsid w:val="00413858"/>
    <w:rsid w:val="00451CC1"/>
    <w:rsid w:val="0045411D"/>
    <w:rsid w:val="004D0362"/>
    <w:rsid w:val="004D4686"/>
    <w:rsid w:val="00563FFD"/>
    <w:rsid w:val="00567835"/>
    <w:rsid w:val="005A74FC"/>
    <w:rsid w:val="006076DF"/>
    <w:rsid w:val="00614666"/>
    <w:rsid w:val="006170BF"/>
    <w:rsid w:val="00622B7F"/>
    <w:rsid w:val="006404A3"/>
    <w:rsid w:val="006A5C76"/>
    <w:rsid w:val="006D04F1"/>
    <w:rsid w:val="00724E13"/>
    <w:rsid w:val="00737605"/>
    <w:rsid w:val="00764E09"/>
    <w:rsid w:val="00766821"/>
    <w:rsid w:val="0077659C"/>
    <w:rsid w:val="0077666C"/>
    <w:rsid w:val="0078798B"/>
    <w:rsid w:val="007A4DB2"/>
    <w:rsid w:val="007A7171"/>
    <w:rsid w:val="007B20C0"/>
    <w:rsid w:val="007E2169"/>
    <w:rsid w:val="008006C9"/>
    <w:rsid w:val="00843FE5"/>
    <w:rsid w:val="008615F5"/>
    <w:rsid w:val="00874446"/>
    <w:rsid w:val="008A1109"/>
    <w:rsid w:val="008A434E"/>
    <w:rsid w:val="008D11EF"/>
    <w:rsid w:val="008E427E"/>
    <w:rsid w:val="00951538"/>
    <w:rsid w:val="00972902"/>
    <w:rsid w:val="00A2545D"/>
    <w:rsid w:val="00A33125"/>
    <w:rsid w:val="00A81013"/>
    <w:rsid w:val="00A94339"/>
    <w:rsid w:val="00AB226C"/>
    <w:rsid w:val="00AB617F"/>
    <w:rsid w:val="00AD555E"/>
    <w:rsid w:val="00AF0CCE"/>
    <w:rsid w:val="00B04AA0"/>
    <w:rsid w:val="00B33F58"/>
    <w:rsid w:val="00B776A1"/>
    <w:rsid w:val="00BA5B97"/>
    <w:rsid w:val="00BB02F7"/>
    <w:rsid w:val="00BB55B9"/>
    <w:rsid w:val="00BD25D4"/>
    <w:rsid w:val="00BF1475"/>
    <w:rsid w:val="00BF2FED"/>
    <w:rsid w:val="00C27D0C"/>
    <w:rsid w:val="00C50F7D"/>
    <w:rsid w:val="00C527C2"/>
    <w:rsid w:val="00C70E1B"/>
    <w:rsid w:val="00C90506"/>
    <w:rsid w:val="00CD6237"/>
    <w:rsid w:val="00DF276C"/>
    <w:rsid w:val="00E3091F"/>
    <w:rsid w:val="00E8635F"/>
    <w:rsid w:val="00ED4C04"/>
    <w:rsid w:val="00EE1DE7"/>
    <w:rsid w:val="00EE4AEA"/>
    <w:rsid w:val="00F525E2"/>
    <w:rsid w:val="00F64C46"/>
    <w:rsid w:val="00F71850"/>
    <w:rsid w:val="00F86111"/>
    <w:rsid w:val="00F96BA3"/>
    <w:rsid w:val="00FC0E6D"/>
    <w:rsid w:val="00FC5A1B"/>
    <w:rsid w:val="13931800"/>
    <w:rsid w:val="386F3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u w:val="single"/>
    </w:rPr>
  </w:style>
  <w:style w:type="character" w:customStyle="1" w:styleId="9">
    <w:name w:val="apple-converted-space"/>
    <w:basedOn w:val="7"/>
    <w:qFormat/>
    <w:uiPriority w:val="0"/>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日期 Char"/>
    <w:basedOn w:val="7"/>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3442</Words>
  <Characters>3631</Characters>
  <Lines>42</Lines>
  <Paragraphs>12</Paragraphs>
  <TotalTime>1</TotalTime>
  <ScaleCrop>false</ScaleCrop>
  <LinksUpToDate>false</LinksUpToDate>
  <CharactersWithSpaces>3727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2019-02-26T07:21:00Z</dcterms:created>
  <dc:creator>姬遇</dc:creator>
  <cp:lastModifiedBy> 祺</cp:lastModifiedBy>
  <dcterms:modified xsi:type="dcterms:W3CDTF">2025-03-24T07:41:52Z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eyJoZGlkIjoiMGRjY2VjZTg0ZGU2OGU2ZWM4M2Q4ZmQzNWVhMmU4NTAiLCJ1c2VySWQiOiI0MzU3NTE4NDAifQ==</vt:lpwstr>
  </property>
  <property fmtid="{D5CDD505-2E9C-101B-9397-08002B2CF9AE}" pid="4" name="ICV">
    <vt:lpwstr>64DF632560364151B11F925EFDC922C0_12</vt:lpwstr>
  </property>
</Properties>
</file>