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6C91">
      <w:pPr>
        <w:spacing w:line="560" w:lineRule="exact"/>
        <w:rPr>
          <w:rFonts w:ascii="仿宋_GB2312" w:eastAsia="仿宋_GB2312"/>
          <w:sz w:val="32"/>
          <w:szCs w:val="32"/>
        </w:rPr>
      </w:pPr>
    </w:p>
    <w:p w14:paraId="138BA76F">
      <w:pPr>
        <w:suppressAutoHyphens/>
        <w:adjustRightInd w:val="0"/>
        <w:spacing w:before="312" w:beforeLines="100" w:after="312" w:afterLines="100" w:line="560" w:lineRule="exact"/>
        <w:jc w:val="center"/>
        <w:rPr>
          <w:rFonts w:ascii="华文中宋" w:hAnsi="华文中宋" w:eastAsia="华文中宋"/>
          <w:kern w:val="0"/>
          <w:sz w:val="36"/>
          <w:szCs w:val="36"/>
        </w:rPr>
      </w:pPr>
    </w:p>
    <w:p w14:paraId="215E5817">
      <w:pPr>
        <w:suppressAutoHyphens/>
        <w:adjustRightInd w:val="0"/>
        <w:spacing w:before="312" w:beforeLines="100" w:after="312" w:afterLines="100" w:line="560" w:lineRule="exact"/>
        <w:jc w:val="center"/>
        <w:rPr>
          <w:rFonts w:ascii="华文中宋" w:hAnsi="华文中宋" w:eastAsia="华文中宋"/>
          <w:kern w:val="0"/>
          <w:sz w:val="36"/>
          <w:szCs w:val="36"/>
        </w:rPr>
      </w:pPr>
    </w:p>
    <w:p w14:paraId="6CC825C0">
      <w:pPr>
        <w:suppressAutoHyphens/>
        <w:adjustRightInd w:val="0"/>
        <w:spacing w:before="312" w:beforeLines="100" w:after="312" w:afterLines="100" w:line="560" w:lineRule="exact"/>
        <w:jc w:val="center"/>
        <w:rPr>
          <w:rFonts w:ascii="华文中宋" w:hAnsi="华文中宋" w:eastAsia="华文中宋" w:cs="Dotum"/>
          <w:kern w:val="0"/>
          <w:sz w:val="48"/>
          <w:szCs w:val="48"/>
        </w:rPr>
      </w:pPr>
      <w:r>
        <w:rPr>
          <w:rFonts w:hint="eastAsia" w:ascii="华文中宋" w:hAnsi="华文中宋" w:eastAsia="华文中宋"/>
          <w:kern w:val="0"/>
          <w:sz w:val="48"/>
          <w:szCs w:val="48"/>
        </w:rPr>
        <w:t>2017年北京市东城区崇外街道办事处政府信息公</w:t>
      </w:r>
      <w:r>
        <w:rPr>
          <w:rFonts w:hint="eastAsia" w:ascii="华文中宋" w:hAnsi="华文中宋" w:eastAsia="华文中宋" w:cs="宋体"/>
          <w:kern w:val="0"/>
          <w:sz w:val="48"/>
          <w:szCs w:val="48"/>
        </w:rPr>
        <w:t>开</w:t>
      </w:r>
      <w:r>
        <w:rPr>
          <w:rFonts w:hint="eastAsia" w:ascii="华文中宋" w:hAnsi="华文中宋" w:eastAsia="华文中宋" w:cs="Dotum"/>
          <w:kern w:val="0"/>
          <w:sz w:val="48"/>
          <w:szCs w:val="48"/>
        </w:rPr>
        <w:t>工作年度</w:t>
      </w:r>
      <w:r>
        <w:rPr>
          <w:rFonts w:hint="eastAsia" w:ascii="华文中宋" w:hAnsi="华文中宋" w:eastAsia="华文中宋" w:cs="宋体"/>
          <w:kern w:val="0"/>
          <w:sz w:val="48"/>
          <w:szCs w:val="48"/>
        </w:rPr>
        <w:t>报</w:t>
      </w:r>
      <w:r>
        <w:rPr>
          <w:rFonts w:hint="eastAsia" w:ascii="华文中宋" w:hAnsi="华文中宋" w:eastAsia="华文中宋" w:cs="Dotum"/>
          <w:kern w:val="0"/>
          <w:sz w:val="48"/>
          <w:szCs w:val="48"/>
        </w:rPr>
        <w:t>告</w:t>
      </w:r>
    </w:p>
    <w:p w14:paraId="5D9A0313">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1833DDD5">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225F06F3">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09EF0A2B">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4D711039">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3A959C89">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024BD354">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75EFACE7">
      <w:pPr>
        <w:suppressAutoHyphens/>
        <w:adjustRightInd w:val="0"/>
        <w:spacing w:before="156" w:beforeLines="50" w:after="156" w:afterLines="50" w:line="560" w:lineRule="exact"/>
        <w:jc w:val="center"/>
        <w:rPr>
          <w:rFonts w:ascii="楷体_GB2312" w:hAnsi="华文中宋" w:eastAsia="楷体_GB2312"/>
          <w:kern w:val="0"/>
          <w:sz w:val="36"/>
          <w:szCs w:val="36"/>
        </w:rPr>
      </w:pPr>
    </w:p>
    <w:p w14:paraId="38684E0A">
      <w:pPr>
        <w:spacing w:line="560" w:lineRule="exact"/>
        <w:rPr>
          <w:sz w:val="32"/>
          <w:szCs w:val="32"/>
        </w:rPr>
      </w:pPr>
    </w:p>
    <w:p w14:paraId="5DE45D95">
      <w:pPr>
        <w:suppressAutoHyphens/>
        <w:adjustRightInd w:val="0"/>
        <w:spacing w:before="312" w:beforeLines="100" w:after="312" w:afterLines="100" w:line="560" w:lineRule="exact"/>
        <w:rPr>
          <w:rFonts w:ascii="楷体_GB2312" w:hAnsi="华文中宋" w:eastAsia="楷体_GB2312"/>
          <w:b/>
          <w:kern w:val="0"/>
          <w:sz w:val="44"/>
          <w:szCs w:val="44"/>
        </w:rPr>
      </w:pPr>
    </w:p>
    <w:p w14:paraId="3B4AED74">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本报告是根据《中华人民共和国政府信息公开条例》（以下简称《条例》）要求，由崇文门外街道办事处编制的2017年度政府信息公开年度报告。</w:t>
      </w:r>
    </w:p>
    <w:p w14:paraId="4E12A192">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全文包括概述，主动公开政府信息的情况，依申请公开政府信息和不予公开政府信息的情况，因政府信息公开申请行政复议、提起行政诉讼的情况，政府信息公开工作存在不足及改进措施。</w:t>
      </w:r>
    </w:p>
    <w:p w14:paraId="07043BCE">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本报告中所列数据的统计期限自2017年1月1日起，至2017年12月31日止。</w:t>
      </w:r>
    </w:p>
    <w:p w14:paraId="45D87B96">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本报告的电子版可在数字东城网站进行查询和下载。如对本报告有任何疑问，请与崇外街道办事处办公室联系（地址：北京市东城区西花市南里东区14号603室；邮编：100062；联系电话：67013683；电子邮箱：chongwaichuban@126.com）。</w:t>
      </w:r>
    </w:p>
    <w:p w14:paraId="1AF0A83A">
      <w:pPr>
        <w:adjustRightInd w:val="0"/>
        <w:snapToGrid w:val="0"/>
        <w:spacing w:line="560" w:lineRule="exact"/>
        <w:rPr>
          <w:rFonts w:ascii="仿宋_GB2312" w:eastAsia="仿宋_GB2312" w:cs="仿宋_GB2312"/>
          <w:snapToGrid w:val="0"/>
          <w:kern w:val="0"/>
          <w:sz w:val="32"/>
          <w:szCs w:val="32"/>
        </w:rPr>
      </w:pPr>
    </w:p>
    <w:p w14:paraId="5CA6067B">
      <w:pPr>
        <w:kinsoku w:val="0"/>
        <w:spacing w:line="600" w:lineRule="exact"/>
        <w:ind w:firstLine="640" w:firstLineChars="200"/>
        <w:textAlignment w:val="baseline"/>
        <w:rPr>
          <w:rFonts w:ascii="黑体" w:hAnsi="黑体" w:eastAsia="黑体"/>
          <w:sz w:val="32"/>
          <w:szCs w:val="32"/>
        </w:rPr>
      </w:pPr>
      <w:r>
        <w:rPr>
          <w:rFonts w:hint="eastAsia" w:ascii="黑体" w:hAnsi="黑体" w:eastAsia="黑体"/>
          <w:sz w:val="32"/>
          <w:szCs w:val="32"/>
        </w:rPr>
        <w:t>一、工作情况</w:t>
      </w:r>
    </w:p>
    <w:p w14:paraId="140BA156">
      <w:pPr>
        <w:kinsoku w:val="0"/>
        <w:spacing w:line="600" w:lineRule="exact"/>
        <w:ind w:firstLine="640" w:firstLineChars="200"/>
        <w:textAlignment w:val="baseline"/>
        <w:rPr>
          <w:rFonts w:ascii="楷体" w:hAnsi="楷体" w:eastAsia="楷体"/>
          <w:sz w:val="32"/>
          <w:szCs w:val="32"/>
        </w:rPr>
      </w:pPr>
      <w:r>
        <w:rPr>
          <w:rFonts w:hint="eastAsia" w:ascii="楷体" w:hAnsi="楷体" w:eastAsia="楷体"/>
          <w:sz w:val="32"/>
          <w:szCs w:val="32"/>
        </w:rPr>
        <w:t>（一）积极落实政府信息和政务公开组织领导和考核监督</w:t>
      </w:r>
    </w:p>
    <w:p w14:paraId="7C988E92">
      <w:pPr>
        <w:spacing w:line="580" w:lineRule="exact"/>
        <w:ind w:firstLine="640" w:firstLineChars="200"/>
        <w:rPr>
          <w:rFonts w:ascii="仿宋_GB2312" w:eastAsia="仿宋_GB2312"/>
          <w:sz w:val="32"/>
          <w:szCs w:val="32"/>
        </w:rPr>
      </w:pPr>
      <w:r>
        <w:rPr>
          <w:rFonts w:hint="eastAsia" w:ascii="仿宋_GB2312" w:eastAsia="仿宋_GB2312" w:cs="仿宋_GB2312"/>
          <w:snapToGrid w:val="0"/>
          <w:kern w:val="0"/>
          <w:sz w:val="32"/>
          <w:szCs w:val="32"/>
        </w:rPr>
        <w:t>认真落实《2017年东城区政务公开工作要点》、</w:t>
      </w:r>
      <w:r>
        <w:rPr>
          <w:rFonts w:hint="eastAsia" w:ascii="仿宋_GB2312" w:hAnsi="楷体_GB2312" w:eastAsia="仿宋_GB2312" w:cs="楷体_GB2312"/>
          <w:bCs/>
          <w:snapToGrid w:val="0"/>
          <w:kern w:val="0"/>
          <w:sz w:val="32"/>
          <w:szCs w:val="32"/>
        </w:rPr>
        <w:t>《2017年东城区重点领域政务公开两级清单》</w:t>
      </w:r>
      <w:r>
        <w:rPr>
          <w:rFonts w:hint="eastAsia" w:ascii="仿宋_GB2312" w:eastAsia="仿宋_GB2312" w:cs="仿宋_GB2312"/>
          <w:snapToGrid w:val="0"/>
          <w:kern w:val="0"/>
          <w:sz w:val="32"/>
          <w:szCs w:val="32"/>
        </w:rPr>
        <w:t>及相关文件精神，进一步明确了分管领导、主管部门、工作机构和工作人员和岗位职责。</w:t>
      </w:r>
    </w:p>
    <w:p w14:paraId="2300383B">
      <w:pPr>
        <w:spacing w:line="580" w:lineRule="exac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我街道制订《崇外街道办事处政府信息公开工作实施方案》，成立崇外街道政府信息公开工作领导小组，组长由工委书记、办事处主任担任，</w:t>
      </w:r>
      <w:r>
        <w:rPr>
          <w:rFonts w:hint="eastAsia" w:ascii="仿宋_GB2312" w:eastAsia="仿宋_GB2312"/>
          <w:sz w:val="32"/>
          <w:szCs w:val="32"/>
        </w:rPr>
        <w:t>主管副主任为具体负责人，由办事处办公室牵头、各部门按照职责分工密切配合的组织领导体系，并设</w:t>
      </w:r>
      <w:r>
        <w:rPr>
          <w:rFonts w:ascii="仿宋_GB2312" w:eastAsia="仿宋_GB2312"/>
          <w:sz w:val="32"/>
          <w:szCs w:val="32"/>
        </w:rPr>
        <w:t>4</w:t>
      </w:r>
      <w:r>
        <w:rPr>
          <w:rFonts w:hint="eastAsia" w:ascii="仿宋_GB2312" w:eastAsia="仿宋_GB2312"/>
          <w:sz w:val="32"/>
          <w:szCs w:val="32"/>
        </w:rPr>
        <w:t>名兼职工作人员，做到机构、人员、责任三明确，为推进信息公开工作提供了坚强的组织保障</w:t>
      </w:r>
      <w:r>
        <w:rPr>
          <w:rFonts w:hint="eastAsia" w:ascii="仿宋_GB2312" w:eastAsia="仿宋_GB2312" w:cs="仿宋_GB2312"/>
          <w:snapToGrid w:val="0"/>
          <w:kern w:val="0"/>
          <w:sz w:val="32"/>
          <w:szCs w:val="32"/>
        </w:rPr>
        <w:t>。</w:t>
      </w:r>
    </w:p>
    <w:p w14:paraId="2EE0F493">
      <w:pPr>
        <w:kinsoku w:val="0"/>
        <w:spacing w:line="600" w:lineRule="exact"/>
        <w:ind w:firstLine="640" w:firstLineChars="200"/>
        <w:textAlignment w:val="baseline"/>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根据《2017年东城区政务公开工作要点》，街道逐条分解，落实到科室，按时催报相关科室提供信息在政务官网动态更新。严格落实《2017年东城区街道办事处政务公开绩效管理考评实施细则》，认真自查自改，确保工作落到实处。</w:t>
      </w:r>
    </w:p>
    <w:p w14:paraId="47FDBB40">
      <w:pPr>
        <w:kinsoku w:val="0"/>
        <w:spacing w:line="600" w:lineRule="exact"/>
        <w:ind w:firstLine="640" w:firstLineChars="200"/>
        <w:textAlignment w:val="baseline"/>
        <w:rPr>
          <w:rFonts w:ascii="楷体" w:hAnsi="楷体" w:eastAsia="楷体"/>
          <w:sz w:val="32"/>
          <w:szCs w:val="32"/>
        </w:rPr>
      </w:pPr>
      <w:r>
        <w:rPr>
          <w:rFonts w:hint="eastAsia" w:ascii="楷体" w:hAnsi="楷体" w:eastAsia="楷体"/>
          <w:sz w:val="32"/>
          <w:szCs w:val="32"/>
        </w:rPr>
        <w:t>（二）认真开展政策解读和回应社会关切</w:t>
      </w:r>
    </w:p>
    <w:p w14:paraId="5B3F74AB">
      <w:pPr>
        <w:kinsoku w:val="0"/>
        <w:spacing w:line="600" w:lineRule="exact"/>
        <w:ind w:firstLine="640" w:firstLineChars="200"/>
        <w:textAlignment w:val="baseline"/>
        <w:rPr>
          <w:rFonts w:ascii="仿宋_GB2312" w:hAnsi="楷体_GB2312" w:eastAsia="仿宋_GB2312" w:cs="楷体_GB2312"/>
          <w:bCs/>
          <w:snapToGrid w:val="0"/>
          <w:kern w:val="0"/>
          <w:sz w:val="32"/>
          <w:szCs w:val="32"/>
        </w:rPr>
      </w:pPr>
      <w:r>
        <w:rPr>
          <w:rFonts w:hint="eastAsia" w:ascii="仿宋_GB2312" w:hAnsi="楷体_GB2312" w:eastAsia="仿宋_GB2312" w:cs="楷体_GB2312"/>
          <w:bCs/>
          <w:snapToGrid w:val="0"/>
          <w:kern w:val="0"/>
          <w:sz w:val="32"/>
          <w:szCs w:val="32"/>
        </w:rPr>
        <w:t>加强政策解读机制建设，规范政策解读程序。本着“谁起草、谁解读”的原则，组建解读组，负责制定解读方案及撰写解读材料。解读组由起草者、业务分管领导负责，并明确主要责任人。政务公开领导组办公室负责牵头政策解读工作，协调、督促及时报送解读方案和解读材料。各科室是政策解读的主体，根据要求精心编制解读方案和解读材料，拓展解读内涵，提升解读效率，回应社会关切。街道门户网站是政策解读的第一平台，及时更新解读内容。提高安全生产、应急管理类信息发布数量，增强政策执行力和公信力。充分</w:t>
      </w:r>
      <w:r>
        <w:rPr>
          <w:rFonts w:hint="eastAsia" w:ascii="仿宋_GB2312" w:eastAsia="仿宋_GB2312"/>
          <w:sz w:val="32"/>
          <w:szCs w:val="32"/>
        </w:rPr>
        <w:t>发挥主流媒体及新媒体作用，在疏解整治促提升、百街千巷、安全生产、“两学一做”等方面积极邀请《北京日报》、《北京晚报》等媒体参与，全程监督并加强宣传；借助“崇外在线”微信公众号，及时发布市区相关政策及街道动态。</w:t>
      </w:r>
    </w:p>
    <w:p w14:paraId="2157C929">
      <w:pPr>
        <w:kinsoku w:val="0"/>
        <w:spacing w:line="600" w:lineRule="exact"/>
        <w:ind w:firstLine="640" w:firstLineChars="200"/>
        <w:textAlignment w:val="baseline"/>
        <w:rPr>
          <w:rFonts w:ascii="楷体" w:hAnsi="楷体" w:eastAsia="楷体"/>
          <w:sz w:val="32"/>
          <w:szCs w:val="32"/>
        </w:rPr>
      </w:pPr>
      <w:r>
        <w:rPr>
          <w:rFonts w:hint="eastAsia" w:ascii="楷体" w:hAnsi="楷体" w:eastAsia="楷体"/>
          <w:sz w:val="32"/>
          <w:szCs w:val="32"/>
        </w:rPr>
        <w:t>（三）大力加强政府信息和政务公开渠道平台建设</w:t>
      </w:r>
    </w:p>
    <w:p w14:paraId="2007BF61">
      <w:pPr>
        <w:shd w:val="clear" w:color="auto" w:fill="FFFFFF"/>
        <w:overflowPunct w:val="0"/>
        <w:spacing w:line="600" w:lineRule="exac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加强崇外政务官网建设，及时上传政府信息公开有关文件和目录，方便群众网上查询，并回应网民意见；定期更新街道工作动态和栏目信息，在街道便民服务大厅和各社区居委会设置政府信息公共查阅设施，规范查阅服务方式，不断完善便民措施，方便群众查阅。</w:t>
      </w:r>
    </w:p>
    <w:p w14:paraId="61BDF958">
      <w:pPr>
        <w:kinsoku w:val="0"/>
        <w:spacing w:line="600" w:lineRule="exact"/>
        <w:ind w:firstLine="640" w:firstLineChars="200"/>
        <w:textAlignment w:val="baseline"/>
        <w:rPr>
          <w:rFonts w:ascii="黑体" w:hAnsi="黑体" w:eastAsia="黑体"/>
          <w:sz w:val="32"/>
          <w:szCs w:val="32"/>
        </w:rPr>
      </w:pPr>
      <w:r>
        <w:rPr>
          <w:rFonts w:hint="eastAsia" w:ascii="黑体" w:hAnsi="黑体" w:eastAsia="黑体"/>
          <w:sz w:val="32"/>
          <w:szCs w:val="32"/>
        </w:rPr>
        <w:t>二、信息公开数据</w:t>
      </w:r>
    </w:p>
    <w:p w14:paraId="4E46D6BC">
      <w:pPr>
        <w:kinsoku w:val="0"/>
        <w:spacing w:line="600" w:lineRule="exact"/>
        <w:ind w:firstLine="640" w:firstLineChars="200"/>
        <w:textAlignment w:val="baseline"/>
        <w:rPr>
          <w:rFonts w:ascii="楷体" w:hAnsi="楷体" w:eastAsia="楷体"/>
          <w:sz w:val="32"/>
          <w:szCs w:val="32"/>
        </w:rPr>
      </w:pPr>
      <w:r>
        <w:rPr>
          <w:rFonts w:hint="eastAsia" w:ascii="楷体" w:hAnsi="楷体" w:eastAsia="楷体"/>
          <w:sz w:val="32"/>
          <w:szCs w:val="32"/>
        </w:rPr>
        <w:t>（一）主动公开情况</w:t>
      </w:r>
    </w:p>
    <w:p w14:paraId="11A99F14">
      <w:pPr>
        <w:spacing w:line="560" w:lineRule="exact"/>
        <w:ind w:firstLine="600"/>
        <w:rPr>
          <w:rFonts w:ascii="仿宋_GB2312" w:eastAsia="仿宋_GB2312"/>
          <w:sz w:val="32"/>
          <w:szCs w:val="32"/>
        </w:rPr>
      </w:pPr>
      <w:r>
        <w:rPr>
          <w:rFonts w:hint="eastAsia" w:ascii="仿宋_GB2312" w:eastAsia="仿宋_GB2312"/>
          <w:sz w:val="32"/>
          <w:szCs w:val="32"/>
        </w:rPr>
        <w:t>2017年主动公开政府信息数</w:t>
      </w:r>
      <w:r>
        <w:rPr>
          <w:rFonts w:ascii="仿宋_GB2312" w:eastAsia="仿宋_GB2312"/>
          <w:sz w:val="32"/>
          <w:szCs w:val="32"/>
        </w:rPr>
        <w:t>860</w:t>
      </w:r>
      <w:r>
        <w:rPr>
          <w:rFonts w:hint="eastAsia" w:ascii="仿宋_GB2312" w:eastAsia="仿宋_GB2312"/>
          <w:sz w:val="32"/>
          <w:szCs w:val="32"/>
        </w:rPr>
        <w:t>件。通过不同渠道和方式公开政府信息的情况，</w:t>
      </w:r>
      <w:r>
        <w:rPr>
          <w:rFonts w:hint="eastAsia" w:ascii="仿宋_GB2312" w:eastAsia="仿宋_GB2312" w:cs="仿宋_GB2312"/>
          <w:snapToGrid w:val="0"/>
          <w:kern w:val="0"/>
          <w:sz w:val="32"/>
          <w:szCs w:val="32"/>
        </w:rPr>
        <w:t>充分利用新媒体，拓宽公开渠道，崇外街道新浪微博粉丝量1528人，原创发布76条，已累计发布信息4838条；“崇外在线”微信公众号收获了1400余名粉丝，发布信息238条，实现信息发布便携化。</w:t>
      </w:r>
    </w:p>
    <w:p w14:paraId="2704C247">
      <w:pPr>
        <w:kinsoku w:val="0"/>
        <w:spacing w:line="600" w:lineRule="exact"/>
        <w:ind w:firstLine="640" w:firstLineChars="200"/>
        <w:textAlignment w:val="baseline"/>
        <w:rPr>
          <w:rFonts w:ascii="仿宋_GB2312" w:eastAsia="仿宋_GB2312"/>
          <w:sz w:val="32"/>
          <w:szCs w:val="32"/>
        </w:rPr>
      </w:pPr>
      <w:r>
        <w:rPr>
          <w:rFonts w:hint="eastAsia" w:ascii="仿宋_GB2312" w:hAnsi="楷体_GB2312" w:eastAsia="仿宋_GB2312" w:cs="楷体_GB2312"/>
          <w:bCs/>
          <w:snapToGrid w:val="0"/>
          <w:kern w:val="0"/>
          <w:sz w:val="32"/>
          <w:szCs w:val="32"/>
        </w:rPr>
        <w:t>围绕群众关心、社会关注的重点领域，以点带面，逐步拓宽公开范围，加大政策公开力度，主动向社会公开民生保障领域相关信息。加大公共服务类信息公开力度，推动养老、助残、卫生、住房等公共服务行业信息公开进一步规范化、制度化。</w:t>
      </w:r>
      <w:r>
        <w:rPr>
          <w:rFonts w:hint="eastAsia" w:ascii="仿宋_GB2312" w:eastAsia="仿宋_GB2312"/>
          <w:sz w:val="32"/>
          <w:szCs w:val="32"/>
        </w:rPr>
        <w:t>重点领域公开政府信息数</w:t>
      </w:r>
      <w:r>
        <w:rPr>
          <w:rFonts w:ascii="仿宋_GB2312" w:eastAsia="仿宋_GB2312"/>
          <w:sz w:val="32"/>
          <w:szCs w:val="32"/>
        </w:rPr>
        <w:t>2</w:t>
      </w:r>
      <w:r>
        <w:rPr>
          <w:rFonts w:hint="eastAsia" w:ascii="仿宋_GB2312" w:eastAsia="仿宋_GB2312"/>
          <w:sz w:val="32"/>
          <w:szCs w:val="32"/>
        </w:rPr>
        <w:t>。其中，主动公开财政预算决算、“三公”经费和行政经费信息数</w:t>
      </w:r>
      <w:r>
        <w:rPr>
          <w:rFonts w:ascii="仿宋_GB2312" w:eastAsia="仿宋_GB2312"/>
          <w:sz w:val="32"/>
          <w:szCs w:val="32"/>
        </w:rPr>
        <w:t>2</w:t>
      </w:r>
      <w:r>
        <w:rPr>
          <w:rFonts w:hint="eastAsia" w:ascii="仿宋_GB2312" w:eastAsia="仿宋_GB2312"/>
          <w:sz w:val="32"/>
          <w:szCs w:val="32"/>
        </w:rPr>
        <w:t>。</w:t>
      </w:r>
    </w:p>
    <w:p w14:paraId="6636C674">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（二）依申请公开情况</w:t>
      </w:r>
    </w:p>
    <w:p w14:paraId="0F503CED">
      <w:pPr>
        <w:spacing w:line="560" w:lineRule="exact"/>
        <w:ind w:firstLine="640" w:firstLineChars="200"/>
        <w:rPr>
          <w:rFonts w:ascii="仿宋_GB2312" w:eastAsia="仿宋_GB2312"/>
          <w:sz w:val="32"/>
          <w:szCs w:val="32"/>
        </w:rPr>
      </w:pPr>
      <w:r>
        <w:rPr>
          <w:rFonts w:hint="eastAsia" w:ascii="仿宋_GB2312" w:hAnsi="宋体" w:eastAsia="仿宋_GB2312" w:cs="仿宋_GB2312"/>
          <w:kern w:val="0"/>
          <w:sz w:val="32"/>
          <w:szCs w:val="32"/>
        </w:rPr>
        <w:t>申请总数为</w:t>
      </w:r>
      <w:r>
        <w:rPr>
          <w:rFonts w:ascii="仿宋_GB2312" w:eastAsia="仿宋_GB2312"/>
          <w:sz w:val="32"/>
          <w:szCs w:val="32"/>
        </w:rPr>
        <w:t>1</w:t>
      </w:r>
      <w:r>
        <w:rPr>
          <w:rFonts w:hint="eastAsia" w:ascii="仿宋_GB2312" w:hAnsi="宋体" w:eastAsia="仿宋_GB2312" w:cs="仿宋_GB2312"/>
          <w:kern w:val="0"/>
          <w:sz w:val="32"/>
          <w:szCs w:val="32"/>
        </w:rPr>
        <w:t>件</w:t>
      </w:r>
      <w:r>
        <w:rPr>
          <w:rFonts w:hint="eastAsia" w:ascii="仿宋_GB2312" w:eastAsia="仿宋_GB2312" w:cs="仿宋_GB2312"/>
          <w:snapToGrid w:val="0"/>
          <w:kern w:val="0"/>
          <w:sz w:val="32"/>
          <w:szCs w:val="32"/>
        </w:rPr>
        <w:t>，</w:t>
      </w:r>
      <w:r>
        <w:rPr>
          <w:rFonts w:hint="eastAsia" w:ascii="仿宋_GB2312" w:hAnsi="宋体" w:eastAsia="仿宋_GB2312" w:cs="仿宋_GB2312"/>
          <w:kern w:val="0"/>
          <w:sz w:val="32"/>
          <w:szCs w:val="32"/>
        </w:rPr>
        <w:t>以信函形式申请</w:t>
      </w:r>
      <w:r>
        <w:rPr>
          <w:rFonts w:ascii="仿宋_GB2312" w:eastAsia="仿宋_GB2312"/>
          <w:sz w:val="32"/>
          <w:szCs w:val="32"/>
        </w:rPr>
        <w:t>1</w:t>
      </w:r>
      <w:r>
        <w:rPr>
          <w:rFonts w:hint="eastAsia" w:ascii="仿宋_GB2312" w:hAnsi="宋体" w:eastAsia="仿宋_GB2312" w:cs="仿宋_GB2312"/>
          <w:kern w:val="0"/>
          <w:sz w:val="32"/>
          <w:szCs w:val="32"/>
        </w:rPr>
        <w:t>，占总数的</w:t>
      </w:r>
      <w:r>
        <w:rPr>
          <w:rFonts w:ascii="仿宋_GB2312" w:eastAsia="仿宋_GB2312"/>
          <w:sz w:val="32"/>
          <w:szCs w:val="32"/>
        </w:rPr>
        <w:t>100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r>
        <w:rPr>
          <w:rFonts w:hint="eastAsia" w:ascii="仿宋_GB2312" w:eastAsia="仿宋_GB2312" w:cs="仿宋_GB2312"/>
          <w:sz w:val="32"/>
          <w:szCs w:val="32"/>
        </w:rPr>
        <w:t>申请事项全部按期答复</w:t>
      </w:r>
      <w:r>
        <w:rPr>
          <w:rFonts w:hint="eastAsia" w:ascii="仿宋_GB2312" w:hAnsi="宋体" w:eastAsia="仿宋_GB2312" w:cs="仿宋_GB2312"/>
          <w:kern w:val="0"/>
          <w:sz w:val="32"/>
          <w:szCs w:val="32"/>
        </w:rPr>
        <w:t>。</w:t>
      </w:r>
      <w:r>
        <w:rPr>
          <w:rFonts w:hint="eastAsia" w:ascii="仿宋_GB2312" w:eastAsia="仿宋_GB2312" w:cs="仿宋_GB2312"/>
          <w:sz w:val="32"/>
          <w:szCs w:val="32"/>
        </w:rPr>
        <w:t>已答复的</w:t>
      </w:r>
      <w:r>
        <w:rPr>
          <w:rFonts w:ascii="仿宋_GB2312" w:eastAsia="仿宋_GB2312"/>
          <w:sz w:val="32"/>
          <w:szCs w:val="32"/>
        </w:rPr>
        <w:t>1</w:t>
      </w:r>
      <w:r>
        <w:rPr>
          <w:rFonts w:hint="eastAsia" w:ascii="仿宋_GB2312" w:eastAsia="仿宋_GB2312" w:cs="仿宋_GB2312"/>
          <w:sz w:val="32"/>
          <w:szCs w:val="32"/>
        </w:rPr>
        <w:t>项申请中,</w:t>
      </w:r>
      <w:r>
        <w:rPr>
          <w:rFonts w:hint="eastAsia" w:ascii="仿宋_GB2312" w:eastAsia="仿宋_GB2312"/>
          <w:sz w:val="32"/>
          <w:szCs w:val="32"/>
        </w:rPr>
        <w:t>“告知通过其他途径办理”</w:t>
      </w:r>
      <w:r>
        <w:rPr>
          <w:rFonts w:ascii="仿宋_GB2312" w:eastAsia="仿宋_GB2312"/>
          <w:sz w:val="32"/>
          <w:szCs w:val="32"/>
        </w:rPr>
        <w:t>1项</w:t>
      </w:r>
      <w:r>
        <w:rPr>
          <w:rFonts w:hint="eastAsia" w:ascii="仿宋_GB2312" w:eastAsia="仿宋_GB2312"/>
          <w:sz w:val="32"/>
          <w:szCs w:val="32"/>
        </w:rPr>
        <w:t>，</w:t>
      </w:r>
      <w:r>
        <w:rPr>
          <w:rFonts w:hint="eastAsia" w:ascii="仿宋_GB2312" w:eastAsia="仿宋_GB2312" w:cs="仿宋_GB2312"/>
          <w:sz w:val="32"/>
          <w:szCs w:val="32"/>
        </w:rPr>
        <w:t>占总数的</w:t>
      </w:r>
      <w:r>
        <w:rPr>
          <w:rFonts w:ascii="仿宋_GB2312" w:eastAsia="仿宋_GB2312"/>
          <w:sz w:val="32"/>
          <w:szCs w:val="32"/>
        </w:rPr>
        <w:t>100</w:t>
      </w:r>
      <w:r>
        <w:rPr>
          <w:rFonts w:ascii="仿宋_GB2312" w:eastAsia="仿宋_GB2312" w:cs="仿宋_GB2312"/>
          <w:sz w:val="32"/>
          <w:szCs w:val="32"/>
        </w:rPr>
        <w:t>%</w:t>
      </w:r>
      <w:r>
        <w:rPr>
          <w:rFonts w:hint="eastAsia" w:ascii="仿宋_GB2312" w:eastAsia="仿宋_GB2312"/>
          <w:sz w:val="32"/>
          <w:szCs w:val="32"/>
        </w:rPr>
        <w:t>。</w:t>
      </w:r>
    </w:p>
    <w:p w14:paraId="0446B7AC">
      <w:pPr>
        <w:spacing w:line="560" w:lineRule="exact"/>
        <w:ind w:firstLine="640" w:firstLineChars="200"/>
        <w:rPr>
          <w:rFonts w:ascii="仿宋_GB2312" w:eastAsia="仿宋_GB2312"/>
          <w:sz w:val="32"/>
          <w:szCs w:val="32"/>
        </w:rPr>
      </w:pPr>
      <w:r>
        <w:rPr>
          <w:rFonts w:hint="eastAsia" w:ascii="仿宋_GB2312" w:eastAsia="仿宋_GB2312"/>
          <w:sz w:val="32"/>
          <w:szCs w:val="32"/>
        </w:rPr>
        <w:t>按照市财政局、市发展改革委《关于清理规范一批行政事业性收费有关政策的通知》（京财综﹝2017﹞569号）要求，自2017年4月1日起，本市已停止收取依申请公开政府信息费用。截至</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w:t>
      </w:r>
      <w:r>
        <w:rPr>
          <w:rFonts w:ascii="仿宋_GB2312" w:eastAsia="仿宋_GB2312"/>
          <w:sz w:val="32"/>
          <w:szCs w:val="32"/>
        </w:rPr>
        <w:t>，</w:t>
      </w:r>
      <w:r>
        <w:rPr>
          <w:rFonts w:hint="eastAsia" w:ascii="仿宋_GB2312" w:eastAsia="仿宋_GB2312"/>
          <w:sz w:val="32"/>
          <w:szCs w:val="32"/>
        </w:rPr>
        <w:t>我街道按照《北京市行政机关依申请提供政府公开信息收费办法</w:t>
      </w:r>
      <w:r>
        <w:rPr>
          <w:rFonts w:ascii="仿宋_GB2312" w:eastAsia="仿宋_GB2312"/>
          <w:sz w:val="32"/>
          <w:szCs w:val="32"/>
        </w:rPr>
        <w:t>(</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》规定，对依申请提供政府信息收取检索、复制、邮寄等费用共计</w:t>
      </w:r>
      <w:r>
        <w:rPr>
          <w:rFonts w:ascii="仿宋_GB2312" w:eastAsia="仿宋_GB2312"/>
          <w:sz w:val="32"/>
          <w:szCs w:val="32"/>
        </w:rPr>
        <w:t>0</w:t>
      </w:r>
      <w:r>
        <w:rPr>
          <w:rFonts w:hint="eastAsia" w:ascii="仿宋_GB2312" w:eastAsia="仿宋_GB2312"/>
          <w:sz w:val="32"/>
          <w:szCs w:val="32"/>
        </w:rPr>
        <w:t>元。</w:t>
      </w:r>
    </w:p>
    <w:p w14:paraId="183445F7">
      <w:pPr>
        <w:widowControl/>
        <w:spacing w:line="520" w:lineRule="exact"/>
        <w:ind w:firstLine="640" w:firstLineChars="200"/>
        <w:rPr>
          <w:rFonts w:ascii="楷体_GB2312" w:hAnsi="宋体" w:eastAsia="楷体_GB2312" w:cs="仿宋_GB2312"/>
          <w:kern w:val="0"/>
          <w:sz w:val="32"/>
          <w:szCs w:val="32"/>
        </w:rPr>
      </w:pPr>
      <w:r>
        <w:rPr>
          <w:rFonts w:hint="eastAsia" w:ascii="楷体_GB2312" w:hAnsi="宋体" w:eastAsia="楷体_GB2312" w:cs="仿宋_GB2312"/>
          <w:kern w:val="0"/>
          <w:sz w:val="32"/>
          <w:szCs w:val="32"/>
        </w:rPr>
        <w:t>（三）机构建设及保障培训情况</w:t>
      </w:r>
    </w:p>
    <w:p w14:paraId="33B56545">
      <w:pPr>
        <w:spacing w:line="560" w:lineRule="exact"/>
        <w:ind w:firstLine="6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设置政府信息公开查阅点数</w:t>
      </w:r>
      <w:r>
        <w:rPr>
          <w:rFonts w:ascii="仿宋_GB2312" w:hAnsi="宋体" w:eastAsia="仿宋_GB2312" w:cs="仿宋_GB2312"/>
          <w:kern w:val="0"/>
          <w:sz w:val="32"/>
          <w:szCs w:val="32"/>
        </w:rPr>
        <w:t>14</w:t>
      </w:r>
      <w:r>
        <w:rPr>
          <w:rFonts w:hint="eastAsia" w:ascii="仿宋_GB2312" w:hAnsi="宋体" w:eastAsia="仿宋_GB2312" w:cs="仿宋_GB2312"/>
          <w:kern w:val="0"/>
          <w:sz w:val="32"/>
          <w:szCs w:val="32"/>
        </w:rPr>
        <w:t>处：从事政府信息公开工作人员</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名，其中兼职人员数</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。政府信息公开专项经费</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元。召开政府信息工作会议或专题会议2次：举办各类培训班2次：接受培训人员数</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人次。</w:t>
      </w:r>
    </w:p>
    <w:p w14:paraId="27C98FDB">
      <w:pPr>
        <w:widowControl/>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四、存在的问题及改进措施</w:t>
      </w:r>
    </w:p>
    <w:p w14:paraId="7F24C06C">
      <w:pPr>
        <w:spacing w:line="560" w:lineRule="exact"/>
        <w:ind w:firstLine="6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目前，政务信息公开渠道较多，但多数居民主</w:t>
      </w:r>
      <w:bookmarkStart w:id="0" w:name="_GoBack"/>
      <w:bookmarkEnd w:id="0"/>
      <w:r>
        <w:rPr>
          <w:rFonts w:hint="eastAsia" w:ascii="仿宋_GB2312" w:eastAsia="仿宋_GB2312" w:cs="仿宋_GB2312"/>
          <w:snapToGrid w:val="0"/>
          <w:kern w:val="0"/>
          <w:sz w:val="32"/>
          <w:szCs w:val="32"/>
        </w:rPr>
        <w:t>要选择电话或者直接来访等方式。政务信息公开的信息框架与居民生活较远。信息公开主要停留在领导活动、日常工作等一般信息上，结果性的信息公开较多，而事关人民群众切身利益的重大事项、重大决策的过程性信息公开较少。有关政务信息公开的工作制度和工作机制需要在实践中进一步完善；主动公开和依申请公开服务需要进一步加强。</w:t>
      </w:r>
    </w:p>
    <w:p w14:paraId="360E68FF">
      <w:pPr>
        <w:suppressAutoHyphens/>
        <w:adjustRightInd w:val="0"/>
        <w:spacing w:before="156" w:beforeLines="50" w:after="156" w:afterLines="50" w:line="560" w:lineRule="exact"/>
        <w:jc w:val="right"/>
        <w:rPr>
          <w:rFonts w:ascii="楷体_GB2312" w:hAnsi="华文中宋" w:eastAsia="楷体_GB2312"/>
          <w:kern w:val="0"/>
          <w:sz w:val="36"/>
          <w:szCs w:val="36"/>
        </w:rPr>
      </w:pPr>
      <w:r>
        <w:rPr>
          <w:rFonts w:hint="eastAsia" w:ascii="楷体_GB2312" w:hAnsi="华文中宋" w:eastAsia="楷体_GB2312"/>
          <w:kern w:val="0"/>
          <w:sz w:val="36"/>
          <w:szCs w:val="36"/>
        </w:rPr>
        <w:t>北京市东城区人民政府崇外街道办事处</w:t>
      </w:r>
    </w:p>
    <w:p w14:paraId="18EE40C0">
      <w:pPr>
        <w:shd w:val="clear" w:color="auto" w:fill="FFFFFF"/>
        <w:overflowPunct w:val="0"/>
        <w:spacing w:line="600" w:lineRule="exact"/>
        <w:ind w:firstLine="720" w:firstLineChars="200"/>
        <w:jc w:val="right"/>
        <w:rPr>
          <w:rFonts w:ascii="仿宋_GB2312" w:eastAsia="仿宋_GB2312" w:cs="仿宋_GB2312"/>
          <w:snapToGrid w:val="0"/>
          <w:kern w:val="0"/>
          <w:sz w:val="32"/>
          <w:szCs w:val="32"/>
        </w:rPr>
      </w:pPr>
      <w:r>
        <w:rPr>
          <w:rFonts w:hint="eastAsia" w:ascii="楷体_GB2312" w:hAnsi="华文中宋" w:eastAsia="楷体_GB2312"/>
          <w:kern w:val="0"/>
          <w:sz w:val="36"/>
          <w:szCs w:val="36"/>
        </w:rPr>
        <w:t>2018</w:t>
      </w:r>
      <w:r>
        <w:rPr>
          <w:rFonts w:hint="eastAsia" w:ascii="楷体_GB2312" w:hAnsi="Dotum" w:eastAsia="楷体_GB2312" w:cs="Dotum"/>
          <w:kern w:val="0"/>
          <w:sz w:val="36"/>
          <w:szCs w:val="36"/>
        </w:rPr>
        <w:t>年3月</w:t>
      </w:r>
    </w:p>
    <w:p w14:paraId="49905881">
      <w:pPr>
        <w:spacing w:line="560" w:lineRule="exact"/>
        <w:rPr>
          <w:rFonts w:ascii="黑体" w:hAnsi="仿宋_GB2312" w:eastAsia="黑体"/>
          <w:color w:val="000000"/>
          <w:sz w:val="32"/>
          <w:szCs w:val="32"/>
        </w:rPr>
      </w:pPr>
      <w:r>
        <w:rPr>
          <w:rFonts w:ascii="仿宋_GB2312" w:hAnsi="楷体" w:eastAsia="仿宋_GB2312"/>
          <w:sz w:val="32"/>
          <w:szCs w:val="32"/>
        </w:rPr>
        <w:br w:type="page"/>
      </w:r>
      <w:r>
        <w:rPr>
          <w:rFonts w:hint="eastAsia" w:ascii="黑体" w:eastAsia="黑体" w:cs="仿宋_GB2312"/>
          <w:sz w:val="32"/>
          <w:szCs w:val="32"/>
        </w:rPr>
        <w:t>附表：</w:t>
      </w:r>
    </w:p>
    <w:tbl>
      <w:tblPr>
        <w:tblStyle w:val="7"/>
        <w:tblW w:w="9555" w:type="dxa"/>
        <w:jc w:val="center"/>
        <w:tblLayout w:type="autofit"/>
        <w:tblCellMar>
          <w:top w:w="0" w:type="dxa"/>
          <w:left w:w="108" w:type="dxa"/>
          <w:bottom w:w="0" w:type="dxa"/>
          <w:right w:w="108" w:type="dxa"/>
        </w:tblCellMar>
      </w:tblPr>
      <w:tblGrid>
        <w:gridCol w:w="7755"/>
        <w:gridCol w:w="720"/>
        <w:gridCol w:w="1080"/>
      </w:tblGrid>
      <w:tr w14:paraId="32B57A08">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14:paraId="2EC50698">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1F6C362E">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14:paraId="5643B902">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（2017年度）</w:t>
            </w:r>
          </w:p>
        </w:tc>
      </w:tr>
      <w:tr w14:paraId="43140FEA">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58EC0214">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38579D81">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02BA5AA">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6C13C1C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29A7A7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50A2769A">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597E1A83">
            <w:pPr>
              <w:widowControl/>
              <w:jc w:val="left"/>
              <w:rPr>
                <w:rFonts w:ascii="宋体" w:hAnsi="宋体" w:cs="宋体"/>
                <w:color w:val="000000"/>
                <w:kern w:val="0"/>
                <w:sz w:val="24"/>
              </w:rPr>
            </w:pPr>
            <w:r>
              <w:rPr>
                <w:rFonts w:hint="eastAsia" w:ascii="宋体" w:hAnsi="宋体" w:cs="宋体"/>
                <w:color w:val="000000"/>
                <w:kern w:val="0"/>
                <w:sz w:val="24"/>
              </w:rPr>
              <w:t>　</w:t>
            </w:r>
          </w:p>
        </w:tc>
      </w:tr>
      <w:tr w14:paraId="0CC73C63">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2BF53B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49B7907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B2315FA">
            <w:pPr>
              <w:widowControl/>
              <w:jc w:val="left"/>
              <w:rPr>
                <w:rFonts w:ascii="仿宋_GB2312" w:hAnsi="宋体" w:eastAsia="仿宋_GB2312" w:cs="宋体"/>
                <w:kern w:val="0"/>
                <w:sz w:val="24"/>
              </w:rPr>
            </w:pPr>
            <w:r>
              <w:rPr>
                <w:rFonts w:hint="eastAsia" w:ascii="仿宋_GB2312" w:hAnsi="宋体" w:eastAsia="仿宋_GB2312" w:cs="宋体"/>
                <w:kern w:val="0"/>
                <w:sz w:val="24"/>
              </w:rPr>
              <w:t>　860</w:t>
            </w:r>
          </w:p>
        </w:tc>
      </w:tr>
      <w:tr w14:paraId="2D3D07E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90ABE9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745C3A6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525434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021C4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40F141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1C7D810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EADF45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39DCD69">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13EF68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1C8FC68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177A4AB">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130FC638">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5B853A6">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1E24914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F885F07">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685DFF22">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46B427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614BEAB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6E490AB">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0</w:t>
            </w:r>
          </w:p>
        </w:tc>
      </w:tr>
      <w:tr w14:paraId="78ED6BA0">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B0F759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320AD8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ED5CFDA">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1F74DE35">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7378E2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3DC806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1EF1FB0">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1D48E797">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16187A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535DEF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D06D275">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3D042E4C">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084FBF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557F450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DDC669E">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144142CA">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37776B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A199FE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F1C2B33">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21A09AC6">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565303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070D257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3B13BF4">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23D9386C">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8A7A4C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3E26EDD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39C41A4">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6C15FE8B">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C68898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92F6F8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029781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CB0CAD4">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4FCD60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66D975E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662C0D0D">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38B41B69">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7B27A5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2F7A907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142578AF">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524AF9C7">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F7FF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1BDFA2E9">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5A664033">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EC7590A">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AF9B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5D8F30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361ECF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96C5EF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440B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667033F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B462FB7">
            <w:pPr>
              <w:widowControl/>
              <w:jc w:val="left"/>
              <w:rPr>
                <w:rFonts w:ascii="仿宋_GB2312" w:hAnsi="宋体" w:eastAsia="仿宋_GB2312" w:cs="宋体"/>
                <w:kern w:val="0"/>
                <w:sz w:val="24"/>
              </w:rPr>
            </w:pPr>
            <w:r>
              <w:rPr>
                <w:rFonts w:hint="eastAsia" w:ascii="仿宋_GB2312" w:hAnsi="宋体" w:eastAsia="仿宋_GB2312" w:cs="宋体"/>
                <w:kern w:val="0"/>
                <w:sz w:val="24"/>
              </w:rPr>
              <w:t>　860</w:t>
            </w:r>
          </w:p>
        </w:tc>
      </w:tr>
      <w:tr w14:paraId="2A6D351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5E85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4FAA2EB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C085B8A">
            <w:pPr>
              <w:widowControl/>
              <w:jc w:val="left"/>
              <w:rPr>
                <w:rFonts w:ascii="仿宋_GB2312" w:hAnsi="宋体" w:eastAsia="仿宋_GB2312" w:cs="宋体"/>
                <w:kern w:val="0"/>
                <w:sz w:val="24"/>
              </w:rPr>
            </w:pPr>
            <w:r>
              <w:rPr>
                <w:rFonts w:hint="eastAsia" w:ascii="仿宋_GB2312" w:hAnsi="宋体" w:eastAsia="仿宋_GB2312" w:cs="宋体"/>
                <w:kern w:val="0"/>
                <w:sz w:val="24"/>
              </w:rPr>
              <w:t>　76</w:t>
            </w:r>
          </w:p>
        </w:tc>
      </w:tr>
      <w:tr w14:paraId="37E683B5">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1644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131AD83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A86734C">
            <w:pPr>
              <w:widowControl/>
              <w:jc w:val="left"/>
              <w:rPr>
                <w:rFonts w:ascii="仿宋_GB2312" w:hAnsi="宋体" w:eastAsia="仿宋_GB2312" w:cs="宋体"/>
                <w:kern w:val="0"/>
                <w:sz w:val="24"/>
              </w:rPr>
            </w:pPr>
            <w:r>
              <w:rPr>
                <w:rFonts w:hint="eastAsia" w:ascii="仿宋_GB2312" w:hAnsi="宋体" w:eastAsia="仿宋_GB2312" w:cs="宋体"/>
                <w:kern w:val="0"/>
                <w:sz w:val="24"/>
              </w:rPr>
              <w:t>　238</w:t>
            </w:r>
          </w:p>
        </w:tc>
      </w:tr>
      <w:tr w14:paraId="42C3F968">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BC4A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6D676F4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1B1800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7A5B07E">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30C6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60B6FE8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3587656">
            <w:pPr>
              <w:widowControl/>
              <w:jc w:val="left"/>
              <w:rPr>
                <w:rFonts w:ascii="宋体" w:hAnsi="宋体" w:cs="宋体"/>
                <w:color w:val="000000"/>
                <w:kern w:val="0"/>
                <w:sz w:val="24"/>
              </w:rPr>
            </w:pPr>
            <w:r>
              <w:rPr>
                <w:rFonts w:hint="eastAsia" w:ascii="宋体" w:hAnsi="宋体" w:cs="宋体"/>
                <w:color w:val="000000"/>
                <w:kern w:val="0"/>
                <w:sz w:val="24"/>
              </w:rPr>
              <w:t>　</w:t>
            </w:r>
          </w:p>
        </w:tc>
      </w:tr>
      <w:tr w14:paraId="753EF043">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ACCB2A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7BFE7769">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4410A1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BD14E3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724415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54E03894">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2F0AD81C">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BCD4907">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9F9B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77396CC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34C4D6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B7C541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25A7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142CB8B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9937A3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ECDBBF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F54746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04D2BA80">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DAE243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461EE0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1A531D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07F1104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65F932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D2C1BE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E82F7B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4A677E80">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2303A91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D4A5C1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5315F4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71284D0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4FF3B1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3D0318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173B7A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5316E1B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2CAD56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17BBEA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4AF37F3">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7C22636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4F0371F7">
            <w:pPr>
              <w:widowControl/>
              <w:jc w:val="left"/>
              <w:rPr>
                <w:rFonts w:ascii="宋体" w:hAnsi="宋体" w:cs="宋体"/>
                <w:color w:val="000000"/>
                <w:kern w:val="0"/>
                <w:sz w:val="24"/>
              </w:rPr>
            </w:pPr>
            <w:r>
              <w:rPr>
                <w:rFonts w:hint="eastAsia" w:ascii="宋体" w:hAnsi="宋体" w:cs="宋体"/>
                <w:color w:val="000000"/>
                <w:kern w:val="0"/>
                <w:sz w:val="24"/>
              </w:rPr>
              <w:t>　</w:t>
            </w:r>
          </w:p>
        </w:tc>
      </w:tr>
      <w:tr w14:paraId="6745657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81327B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03355CF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6C8754D">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0D7AACA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9172E9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4A8BDF8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D0F01A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0F006E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C6B59B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6B09D73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9EA0EF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F847BE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62795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2CB1305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020767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DECF01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D7B8D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0DECC6B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84C947D">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DC3A14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215373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52171C6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453294F">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6C5EDBE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8F53B8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1DC2835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511A9DD">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7E5EA0D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11CDBA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141814C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42957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97ECC8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EC6CDB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7DB4A19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B8129EF">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09881F3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ECA152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4618BA2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B4D2D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1EC18C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98C949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50C3D37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3A6F53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DB4E8C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F7AE2F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76A70E9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C411E5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A3864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DE5ECE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57B7CAA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4C3159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BC1819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1FE0284">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706F1D2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B2C5F8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213D1B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D79F477">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18B625E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4A08C1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E8BED3D">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F7C22">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6C94C2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6BC101D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2DC2A2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25FC2BE">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3B9A66A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385DAE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F0DC06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4294538">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0AC3730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966075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D8FCD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0A87E77">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5DD86D4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C9A23E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7E3333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A20E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1EDAD7E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A5383A8">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857B9A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57CD9A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1CFF09C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19A455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50BD49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89C9FE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78D8274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CDF54E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BBF973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ABBA6A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023A3EF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77B02C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ED1AC5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6C3A84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6E5AE301">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7DC09D6">
            <w:pPr>
              <w:widowControl/>
              <w:jc w:val="left"/>
              <w:rPr>
                <w:rFonts w:ascii="宋体" w:hAnsi="宋体" w:cs="宋体"/>
                <w:color w:val="000000"/>
                <w:kern w:val="0"/>
                <w:sz w:val="24"/>
              </w:rPr>
            </w:pPr>
            <w:r>
              <w:rPr>
                <w:rFonts w:hint="eastAsia" w:ascii="宋体" w:hAnsi="宋体" w:cs="宋体"/>
                <w:color w:val="000000"/>
                <w:kern w:val="0"/>
                <w:sz w:val="24"/>
              </w:rPr>
              <w:t>0</w:t>
            </w:r>
          </w:p>
        </w:tc>
      </w:tr>
      <w:tr w14:paraId="64E374B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870E38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0B692D2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99BF528">
            <w:pPr>
              <w:widowControl/>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6AB1E13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93C782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6654B7F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57A9D56">
            <w:pPr>
              <w:widowControl/>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1B52A1A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181EED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6CF8A06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7AEDB63">
            <w:pPr>
              <w:widowControl/>
              <w:jc w:val="left"/>
              <w:rPr>
                <w:rFonts w:ascii="仿宋_GB2312" w:hAnsi="宋体" w:eastAsia="仿宋_GB2312" w:cs="宋体"/>
                <w:kern w:val="0"/>
                <w:sz w:val="24"/>
              </w:rPr>
            </w:pPr>
            <w:r>
              <w:rPr>
                <w:rFonts w:hint="eastAsia" w:ascii="仿宋_GB2312" w:hAnsi="宋体" w:eastAsia="仿宋_GB2312" w:cs="宋体"/>
                <w:kern w:val="0"/>
                <w:sz w:val="24"/>
              </w:rPr>
              <w:t>0</w:t>
            </w:r>
          </w:p>
        </w:tc>
      </w:tr>
      <w:tr w14:paraId="3A29CAE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3BBA4F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0E057AAC">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C509394">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023942B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E38D34C">
            <w:pPr>
              <w:widowControl/>
              <w:jc w:val="left"/>
              <w:rPr>
                <w:rFonts w:ascii="仿宋" w:hAnsi="仿宋" w:eastAsia="仿宋" w:cs="宋体"/>
                <w:color w:val="000000"/>
                <w:kern w:val="0"/>
                <w:sz w:val="24"/>
              </w:rPr>
            </w:pPr>
            <w:r>
              <w:rPr>
                <w:rFonts w:hint="eastAsia" w:ascii="黑体" w:hAnsi="宋体" w:eastAsia="黑体" w:cs="宋体"/>
                <w:color w:val="000000"/>
                <w:kern w:val="0"/>
                <w:sz w:val="24"/>
              </w:rPr>
              <w:t xml:space="preserve">  </w:t>
            </w:r>
            <w:r>
              <w:rPr>
                <w:rFonts w:hint="eastAsia" w:ascii="仿宋" w:hAnsi="仿宋" w:eastAsia="仿宋" w:cs="宋体"/>
                <w:color w:val="000000"/>
                <w:kern w:val="0"/>
                <w:sz w:val="24"/>
              </w:rPr>
              <w:t>（一）一审案件数量</w:t>
            </w:r>
          </w:p>
        </w:tc>
        <w:tc>
          <w:tcPr>
            <w:tcW w:w="720" w:type="dxa"/>
            <w:tcBorders>
              <w:top w:val="nil"/>
              <w:left w:val="nil"/>
              <w:bottom w:val="single" w:color="auto" w:sz="4" w:space="0"/>
              <w:right w:val="single" w:color="auto" w:sz="4" w:space="0"/>
            </w:tcBorders>
            <w:shd w:val="clear" w:color="auto" w:fill="auto"/>
            <w:noWrap/>
            <w:vAlign w:val="center"/>
          </w:tcPr>
          <w:p w14:paraId="62C2B373">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01638BB">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43EDCCF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7C268A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5B008D8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52329F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65C816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4FA7A9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2．被依法纠错数</w:t>
            </w:r>
          </w:p>
        </w:tc>
        <w:tc>
          <w:tcPr>
            <w:tcW w:w="720" w:type="dxa"/>
            <w:tcBorders>
              <w:top w:val="nil"/>
              <w:left w:val="nil"/>
              <w:bottom w:val="single" w:color="auto" w:sz="4" w:space="0"/>
              <w:right w:val="single" w:color="auto" w:sz="4" w:space="0"/>
            </w:tcBorders>
            <w:shd w:val="clear" w:color="auto" w:fill="auto"/>
            <w:noWrap/>
            <w:vAlign w:val="center"/>
          </w:tcPr>
          <w:p w14:paraId="6E2A852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8E604B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CEC4E9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EAE429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3．其他情形数（含未审结113件）</w:t>
            </w:r>
          </w:p>
        </w:tc>
        <w:tc>
          <w:tcPr>
            <w:tcW w:w="720" w:type="dxa"/>
            <w:tcBorders>
              <w:top w:val="nil"/>
              <w:left w:val="nil"/>
              <w:bottom w:val="single" w:color="auto" w:sz="4" w:space="0"/>
              <w:right w:val="single" w:color="auto" w:sz="4" w:space="0"/>
            </w:tcBorders>
            <w:shd w:val="clear" w:color="auto" w:fill="auto"/>
            <w:noWrap/>
            <w:vAlign w:val="center"/>
          </w:tcPr>
          <w:p w14:paraId="51EB51C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DE4655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533E12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EC52AA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（二）二审案件数量 </w:t>
            </w:r>
          </w:p>
        </w:tc>
        <w:tc>
          <w:tcPr>
            <w:tcW w:w="720" w:type="dxa"/>
            <w:tcBorders>
              <w:top w:val="nil"/>
              <w:left w:val="nil"/>
              <w:bottom w:val="single" w:color="auto" w:sz="4" w:space="0"/>
              <w:right w:val="single" w:color="auto" w:sz="4" w:space="0"/>
            </w:tcBorders>
            <w:shd w:val="clear" w:color="auto" w:fill="auto"/>
            <w:noWrap/>
            <w:vAlign w:val="center"/>
          </w:tcPr>
          <w:p w14:paraId="7E4979F6">
            <w:pPr>
              <w:widowControl/>
              <w:jc w:val="center"/>
              <w:rPr>
                <w:rFonts w:ascii="仿宋_GB2312" w:hAnsi="宋体" w:eastAsia="仿宋_GB2312" w:cs="宋体"/>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C81D20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0FBB87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4D1C40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24C2BDF0">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2BB308A">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6DFE218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AEB4BD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388C54DB">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4A57F6E1">
            <w:pPr>
              <w:widowControl/>
              <w:jc w:val="left"/>
              <w:rPr>
                <w:rFonts w:ascii="宋体" w:hAnsi="宋体" w:cs="宋体"/>
                <w:color w:val="000000"/>
                <w:kern w:val="0"/>
                <w:sz w:val="24"/>
              </w:rPr>
            </w:pPr>
            <w:r>
              <w:rPr>
                <w:rFonts w:hint="eastAsia" w:ascii="宋体" w:hAnsi="宋体" w:cs="宋体"/>
                <w:color w:val="000000"/>
                <w:kern w:val="0"/>
                <w:sz w:val="24"/>
              </w:rPr>
              <w:t>　0</w:t>
            </w:r>
          </w:p>
        </w:tc>
      </w:tr>
      <w:tr w14:paraId="75EC56E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A59B85C">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7A66BA83">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43528FA">
            <w:pPr>
              <w:widowControl/>
              <w:jc w:val="left"/>
              <w:rPr>
                <w:rFonts w:ascii="宋体" w:hAnsi="宋体" w:cs="宋体"/>
                <w:color w:val="000000"/>
                <w:kern w:val="0"/>
                <w:sz w:val="24"/>
              </w:rPr>
            </w:pPr>
            <w:r>
              <w:rPr>
                <w:rFonts w:hint="eastAsia" w:ascii="宋体" w:hAnsi="宋体" w:cs="宋体"/>
                <w:color w:val="000000"/>
                <w:kern w:val="0"/>
                <w:sz w:val="24"/>
              </w:rPr>
              <w:t>　</w:t>
            </w:r>
          </w:p>
        </w:tc>
      </w:tr>
      <w:tr w14:paraId="3CA93EB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9AF15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67ADD981">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7079CDD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8D02BE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35470F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3EAC42FF">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598AE0DA">
            <w:pPr>
              <w:widowControl/>
              <w:jc w:val="left"/>
              <w:rPr>
                <w:rFonts w:ascii="仿宋_GB2312" w:hAnsi="宋体" w:eastAsia="仿宋_GB2312" w:cs="宋体"/>
                <w:kern w:val="0"/>
                <w:sz w:val="24"/>
              </w:rPr>
            </w:pPr>
            <w:r>
              <w:rPr>
                <w:rFonts w:hint="eastAsia" w:ascii="仿宋_GB2312" w:hAnsi="宋体" w:eastAsia="仿宋_GB2312" w:cs="宋体"/>
                <w:kern w:val="0"/>
                <w:sz w:val="24"/>
              </w:rPr>
              <w:t>　14</w:t>
            </w:r>
          </w:p>
        </w:tc>
      </w:tr>
      <w:tr w14:paraId="34CFA33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CED8D6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5D418E6A">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000C1EA6">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4CBA867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8E21C1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51F0E149">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32AC978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863504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352E48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1352DFDC">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277AF941">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28ADBCB5">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2F64847">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558958CA">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1EAC83A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54FADE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6A707A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19F94E10">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177674B5">
            <w:pPr>
              <w:widowControl/>
              <w:jc w:val="left"/>
              <w:rPr>
                <w:rFonts w:ascii="宋体" w:hAnsi="宋体" w:cs="宋体"/>
                <w:color w:val="000000"/>
                <w:kern w:val="0"/>
                <w:sz w:val="24"/>
              </w:rPr>
            </w:pPr>
            <w:r>
              <w:rPr>
                <w:rFonts w:hint="eastAsia" w:ascii="宋体" w:hAnsi="宋体" w:cs="宋体"/>
                <w:color w:val="000000"/>
                <w:kern w:val="0"/>
                <w:sz w:val="24"/>
              </w:rPr>
              <w:t>　</w:t>
            </w:r>
          </w:p>
        </w:tc>
      </w:tr>
      <w:tr w14:paraId="5A052A9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D9DCFC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1A656DF0">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5CDE6EF">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6B31D47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1FC6E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099231C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57FF17B">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693041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57918FE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7B2089D0">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21720DEC">
            <w:pPr>
              <w:widowControl/>
              <w:jc w:val="left"/>
              <w:rPr>
                <w:rFonts w:ascii="仿宋_GB2312" w:hAnsi="宋体" w:eastAsia="仿宋_GB2312" w:cs="宋体"/>
                <w:kern w:val="0"/>
                <w:sz w:val="24"/>
              </w:rPr>
            </w:pPr>
            <w:r>
              <w:rPr>
                <w:rFonts w:hint="eastAsia" w:ascii="仿宋_GB2312" w:hAnsi="宋体" w:eastAsia="仿宋_GB2312" w:cs="宋体"/>
                <w:kern w:val="0"/>
                <w:sz w:val="24"/>
              </w:rPr>
              <w:t>　100</w:t>
            </w:r>
          </w:p>
        </w:tc>
      </w:tr>
    </w:tbl>
    <w:p w14:paraId="55F33C4E">
      <w:pPr>
        <w:adjustRightInd w:val="0"/>
        <w:snapToGrid w:val="0"/>
        <w:spacing w:line="560" w:lineRule="exact"/>
        <w:rPr>
          <w:rFonts w:ascii="仿宋_GB2312" w:hAnsi="Calibri" w:eastAsia="仿宋_GB2312"/>
          <w:sz w:val="32"/>
          <w:szCs w:val="32"/>
        </w:rPr>
      </w:pPr>
    </w:p>
    <w:p w14:paraId="3E0F2F6E">
      <w:pPr>
        <w:spacing w:line="560" w:lineRule="exact"/>
        <w:ind w:firstLine="640" w:firstLineChars="200"/>
        <w:rPr>
          <w:rFonts w:ascii="仿宋_GB2312" w:hAnsi="楷体" w:eastAsia="仿宋_GB2312"/>
          <w:sz w:val="32"/>
          <w:szCs w:val="32"/>
        </w:rPr>
      </w:pPr>
    </w:p>
    <w:p w14:paraId="5E23EE60"/>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8A8C68-F60C-491A-BC39-6F804DDA84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6E6A3A-A9F2-43D5-9CB2-251F1CC1D5AF}"/>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3" w:fontKey="{D3D5587E-AAB1-48EF-8DEA-F78F02384611}"/>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modern"/>
    <w:pitch w:val="default"/>
    <w:sig w:usb0="00000000" w:usb1="00000000" w:usb2="00000010" w:usb3="00000000" w:csb0="00080000" w:csb1="00000000"/>
  </w:font>
  <w:font w:name="돋움">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embedRegular r:id="rId4" w:fontKey="{8B1A0804-A5BA-4874-9B40-CFA263562ED1}"/>
  </w:font>
  <w:font w:name="楷体">
    <w:panose1 w:val="02010609060101010101"/>
    <w:charset w:val="86"/>
    <w:family w:val="modern"/>
    <w:pitch w:val="default"/>
    <w:sig w:usb0="800002BF" w:usb1="38CF7CFA" w:usb2="00000016" w:usb3="00000000" w:csb0="00040001" w:csb1="00000000"/>
    <w:embedRegular r:id="rId5" w:fontKey="{8E6DE5E5-B53D-4EB0-82C4-B533FD0E7E6E}"/>
  </w:font>
  <w:font w:name="方正小标宋简体">
    <w:panose1 w:val="02000000000000000000"/>
    <w:charset w:val="86"/>
    <w:family w:val="script"/>
    <w:pitch w:val="default"/>
    <w:sig w:usb0="00000001" w:usb1="08000000" w:usb2="00000000" w:usb3="00000000" w:csb0="00040000" w:csb1="00000000"/>
    <w:embedRegular r:id="rId6" w:fontKey="{2FE4B808-F191-4464-B819-E53284648235}"/>
  </w:font>
  <w:font w:name="仿宋">
    <w:panose1 w:val="02010609060101010101"/>
    <w:charset w:val="86"/>
    <w:family w:val="modern"/>
    <w:pitch w:val="default"/>
    <w:sig w:usb0="800002BF" w:usb1="38CF7CFA" w:usb2="00000016" w:usb3="00000000" w:csb0="00040001" w:csb1="00000000"/>
    <w:embedRegular r:id="rId7" w:fontKey="{0D73D4A1-8457-41FD-838D-7BEFDA40A98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EDF5">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14:paraId="4178EBA5">
    <w:pPr>
      <w:pStyle w:val="5"/>
      <w:jc w:val="center"/>
    </w:pPr>
  </w:p>
  <w:p w14:paraId="703A1C0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7615A">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0FCABD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29"/>
    <w:rsid w:val="00023ACB"/>
    <w:rsid w:val="000F77A4"/>
    <w:rsid w:val="00107C02"/>
    <w:rsid w:val="00140EE4"/>
    <w:rsid w:val="00144D0A"/>
    <w:rsid w:val="00154450"/>
    <w:rsid w:val="00154A93"/>
    <w:rsid w:val="00181A53"/>
    <w:rsid w:val="001A4EAE"/>
    <w:rsid w:val="001B3EB3"/>
    <w:rsid w:val="001E651C"/>
    <w:rsid w:val="00206D6D"/>
    <w:rsid w:val="00233F1A"/>
    <w:rsid w:val="00241193"/>
    <w:rsid w:val="00277EBC"/>
    <w:rsid w:val="002B12F1"/>
    <w:rsid w:val="002C67E9"/>
    <w:rsid w:val="003D1321"/>
    <w:rsid w:val="003E259E"/>
    <w:rsid w:val="003E3585"/>
    <w:rsid w:val="00410E36"/>
    <w:rsid w:val="0041108C"/>
    <w:rsid w:val="004134B7"/>
    <w:rsid w:val="004644CE"/>
    <w:rsid w:val="004C47C7"/>
    <w:rsid w:val="004F5641"/>
    <w:rsid w:val="00515F17"/>
    <w:rsid w:val="00531593"/>
    <w:rsid w:val="005D301C"/>
    <w:rsid w:val="005D391A"/>
    <w:rsid w:val="005F4F64"/>
    <w:rsid w:val="0061261D"/>
    <w:rsid w:val="00613041"/>
    <w:rsid w:val="00616918"/>
    <w:rsid w:val="006C168A"/>
    <w:rsid w:val="006E0DA8"/>
    <w:rsid w:val="00720DCE"/>
    <w:rsid w:val="00842C5C"/>
    <w:rsid w:val="00860A03"/>
    <w:rsid w:val="00883809"/>
    <w:rsid w:val="008F1B29"/>
    <w:rsid w:val="00905CA7"/>
    <w:rsid w:val="009C7F7D"/>
    <w:rsid w:val="009D684E"/>
    <w:rsid w:val="00A10525"/>
    <w:rsid w:val="00A57A0B"/>
    <w:rsid w:val="00A92880"/>
    <w:rsid w:val="00B24D0E"/>
    <w:rsid w:val="00B26CB2"/>
    <w:rsid w:val="00BE54D5"/>
    <w:rsid w:val="00E0457C"/>
    <w:rsid w:val="00E20DBB"/>
    <w:rsid w:val="00E26A42"/>
    <w:rsid w:val="00E537F1"/>
    <w:rsid w:val="00ED3C92"/>
    <w:rsid w:val="00F1581D"/>
    <w:rsid w:val="00F34EE4"/>
    <w:rsid w:val="00FC5C24"/>
    <w:rsid w:val="2C61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qFormat/>
    <w:uiPriority w:val="0"/>
    <w:rPr>
      <w:rFonts w:ascii="宋体"/>
      <w:sz w:val="18"/>
      <w:szCs w:val="18"/>
    </w:rPr>
  </w:style>
  <w:style w:type="paragraph" w:styleId="3">
    <w:name w:val="Plain Text"/>
    <w:basedOn w:val="1"/>
    <w:link w:val="17"/>
    <w:uiPriority w:val="0"/>
    <w:rPr>
      <w:rFonts w:ascii="宋体" w:hAnsi="Courier New"/>
      <w:kern w:val="0"/>
      <w:szCs w:val="20"/>
    </w:rPr>
  </w:style>
  <w:style w:type="paragraph" w:styleId="4">
    <w:name w:val="Balloon Text"/>
    <w:basedOn w:val="1"/>
    <w:link w:val="14"/>
    <w:semiHidden/>
    <w:qFormat/>
    <w:uiPriority w:val="0"/>
    <w:rPr>
      <w:sz w:val="18"/>
      <w:szCs w:val="18"/>
    </w:rPr>
  </w:style>
  <w:style w:type="paragraph" w:styleId="5">
    <w:name w:val="footer"/>
    <w:basedOn w:val="1"/>
    <w:link w:val="12"/>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styleId="10">
    <w:name w:val="Hyperlink"/>
    <w:unhideWhenUsed/>
    <w:uiPriority w:val="0"/>
    <w:rPr>
      <w:color w:val="0000FF"/>
      <w:u w:val="single"/>
    </w:rPr>
  </w:style>
  <w:style w:type="character" w:customStyle="1" w:styleId="11">
    <w:name w:val="页眉 Char"/>
    <w:basedOn w:val="8"/>
    <w:link w:val="6"/>
    <w:qFormat/>
    <w:uiPriority w:val="0"/>
    <w:rPr>
      <w:sz w:val="18"/>
      <w:szCs w:val="18"/>
    </w:rPr>
  </w:style>
  <w:style w:type="character" w:customStyle="1" w:styleId="12">
    <w:name w:val="页脚 Char"/>
    <w:basedOn w:val="8"/>
    <w:link w:val="5"/>
    <w:qFormat/>
    <w:uiPriority w:val="0"/>
    <w:rPr>
      <w:sz w:val="18"/>
      <w:szCs w:val="18"/>
    </w:rPr>
  </w:style>
  <w:style w:type="character" w:customStyle="1" w:styleId="13">
    <w:name w:val="页脚 Char1"/>
    <w:basedOn w:val="8"/>
    <w:semiHidden/>
    <w:qFormat/>
    <w:uiPriority w:val="99"/>
    <w:rPr>
      <w:kern w:val="2"/>
      <w:sz w:val="18"/>
      <w:szCs w:val="18"/>
    </w:rPr>
  </w:style>
  <w:style w:type="character" w:customStyle="1" w:styleId="14">
    <w:name w:val="批注框文本 Char"/>
    <w:basedOn w:val="8"/>
    <w:link w:val="4"/>
    <w:semiHidden/>
    <w:qFormat/>
    <w:uiPriority w:val="0"/>
    <w:rPr>
      <w:rFonts w:ascii="Times New Roman" w:hAnsi="Times New Roman" w:eastAsia="宋体" w:cs="Times New Roman"/>
      <w:sz w:val="18"/>
      <w:szCs w:val="18"/>
    </w:rPr>
  </w:style>
  <w:style w:type="paragraph" w:customStyle="1" w:styleId="15">
    <w:name w:val="Char Char2"/>
    <w:basedOn w:val="1"/>
    <w:uiPriority w:val="0"/>
    <w:rPr>
      <w:rFonts w:ascii="Tahoma" w:hAnsi="Tahoma"/>
      <w:sz w:val="24"/>
      <w:szCs w:val="20"/>
    </w:rPr>
  </w:style>
  <w:style w:type="paragraph" w:customStyle="1" w:styleId="16">
    <w:name w:val="Char1 Char Char Char"/>
    <w:basedOn w:val="1"/>
    <w:uiPriority w:val="0"/>
    <w:rPr>
      <w:rFonts w:ascii="Tahoma" w:hAnsi="Tahoma"/>
      <w:sz w:val="24"/>
      <w:szCs w:val="20"/>
    </w:rPr>
  </w:style>
  <w:style w:type="character" w:customStyle="1" w:styleId="17">
    <w:name w:val="纯文本 Char"/>
    <w:basedOn w:val="8"/>
    <w:link w:val="3"/>
    <w:qFormat/>
    <w:uiPriority w:val="0"/>
    <w:rPr>
      <w:rFonts w:ascii="宋体" w:hAnsi="Courier New" w:eastAsia="宋体" w:cs="Times New Roman"/>
      <w:kern w:val="0"/>
      <w:szCs w:val="20"/>
    </w:rPr>
  </w:style>
  <w:style w:type="paragraph" w:customStyle="1" w:styleId="18">
    <w:name w:val="Char"/>
    <w:basedOn w:val="2"/>
    <w:autoRedefine/>
    <w:qFormat/>
    <w:uiPriority w:val="0"/>
    <w:pPr>
      <w:shd w:val="clear" w:color="auto" w:fill="000080"/>
      <w:adjustRightInd w:val="0"/>
      <w:spacing w:line="436" w:lineRule="exact"/>
      <w:ind w:left="357"/>
      <w:jc w:val="left"/>
      <w:outlineLvl w:val="3"/>
    </w:pPr>
    <w:rPr>
      <w:rFonts w:ascii="Tahoma" w:hAnsi="Tahoma"/>
      <w:b/>
      <w:spacing w:val="-24"/>
      <w:sz w:val="24"/>
      <w:szCs w:val="32"/>
    </w:rPr>
  </w:style>
  <w:style w:type="character" w:customStyle="1" w:styleId="19">
    <w:name w:val="文档结构图 Char"/>
    <w:basedOn w:val="8"/>
    <w:link w:val="2"/>
    <w:qFormat/>
    <w:uiPriority w:val="0"/>
    <w:rPr>
      <w:rFonts w:ascii="宋体" w:hAnsi="Times New Roman" w:eastAsia="宋体" w:cs="Times New Roman"/>
      <w:sz w:val="18"/>
      <w:szCs w:val="18"/>
    </w:rPr>
  </w:style>
  <w:style w:type="paragraph" w:customStyle="1" w:styleId="20">
    <w:name w:val="列出段落1"/>
    <w:basedOn w:val="1"/>
    <w:qFormat/>
    <w:uiPriority w:val="0"/>
    <w:pPr>
      <w:ind w:firstLine="420" w:firstLineChars="200"/>
    </w:pPr>
    <w:rPr>
      <w:rFonts w:ascii="Calibri" w:hAnsi="Calibri"/>
      <w:szCs w:val="22"/>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1964</Words>
  <Characters>2069</Characters>
  <Lines>32</Lines>
  <Paragraphs>9</Paragraphs>
  <TotalTime>140</TotalTime>
  <ScaleCrop>false</ScaleCrop>
  <LinksUpToDate>false</LinksUpToDate>
  <CharactersWithSpaces>2069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2018-02-01T09:55:00Z</dcterms:created>
  <dc:creator>吴婧</dc:creator>
  <cp:lastModifiedBy> 祺</cp:lastModifiedBy>
  <dcterms:modified xsi:type="dcterms:W3CDTF">2025-03-24T06:26:33Z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A504E5E7C86D42439D9131F98A911E9C_12</vt:lpwstr>
  </property>
</Properties>
</file>