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pacing w:before="312" w:beforeLines="100" w:after="312" w:afterLines="100" w:line="560" w:lineRule="exact"/>
        <w:jc w:val="center"/>
        <w:rPr>
          <w:rFonts w:ascii="华文中宋" w:hAnsi="华文中宋" w:eastAsia="华文中宋"/>
          <w:color w:val="000000"/>
          <w:kern w:val="0"/>
          <w:sz w:val="36"/>
          <w:szCs w:val="36"/>
        </w:rPr>
      </w:pPr>
      <w:bookmarkStart w:id="0" w:name="_GoBack"/>
      <w:bookmarkEnd w:id="0"/>
    </w:p>
    <w:p>
      <w:pPr>
        <w:suppressAutoHyphens/>
        <w:adjustRightInd w:val="0"/>
        <w:spacing w:before="312" w:beforeLines="100" w:after="312" w:afterLines="100" w:line="560" w:lineRule="exact"/>
        <w:jc w:val="center"/>
        <w:rPr>
          <w:rFonts w:ascii="华文中宋" w:hAnsi="华文中宋" w:eastAsia="华文中宋"/>
          <w:kern w:val="0"/>
          <w:sz w:val="36"/>
          <w:szCs w:val="36"/>
        </w:rPr>
      </w:pPr>
    </w:p>
    <w:p>
      <w:pPr>
        <w:suppressAutoHyphens/>
        <w:adjustRightInd w:val="0"/>
        <w:spacing w:before="312" w:beforeLines="100" w:after="312" w:afterLines="100" w:line="560" w:lineRule="exact"/>
        <w:jc w:val="center"/>
        <w:rPr>
          <w:rFonts w:ascii="华文中宋" w:hAnsi="华文中宋" w:eastAsia="华文中宋"/>
          <w:kern w:val="0"/>
          <w:sz w:val="36"/>
          <w:szCs w:val="36"/>
        </w:rPr>
      </w:pPr>
    </w:p>
    <w:p>
      <w:pPr>
        <w:suppressAutoHyphens/>
        <w:adjustRightInd w:val="0"/>
        <w:spacing w:before="312" w:beforeLines="100" w:after="312" w:afterLines="100" w:line="560" w:lineRule="exact"/>
        <w:jc w:val="center"/>
        <w:rPr>
          <w:rFonts w:ascii="华文中宋" w:hAnsi="华文中宋" w:eastAsia="华文中宋"/>
          <w:kern w:val="0"/>
          <w:sz w:val="48"/>
          <w:szCs w:val="48"/>
        </w:rPr>
      </w:pPr>
      <w:r>
        <w:rPr>
          <w:rFonts w:hint="eastAsia" w:ascii="华文中宋" w:hAnsi="华文中宋" w:eastAsia="华文中宋"/>
          <w:kern w:val="0"/>
          <w:sz w:val="48"/>
          <w:szCs w:val="48"/>
        </w:rPr>
        <w:t>北京市东城区龙潭街道办事处201</w:t>
      </w:r>
      <w:r>
        <w:rPr>
          <w:rFonts w:hint="eastAsia" w:ascii="华文中宋" w:hAnsi="华文中宋" w:eastAsia="华文中宋"/>
          <w:kern w:val="0"/>
          <w:sz w:val="48"/>
          <w:szCs w:val="48"/>
          <w:lang w:val="en-US" w:eastAsia="zh-CN"/>
        </w:rPr>
        <w:t>8</w:t>
      </w:r>
      <w:r>
        <w:rPr>
          <w:rFonts w:hint="eastAsia" w:ascii="华文中宋" w:hAnsi="华文中宋" w:eastAsia="华文中宋"/>
          <w:kern w:val="0"/>
          <w:sz w:val="48"/>
          <w:szCs w:val="48"/>
        </w:rPr>
        <w:t>年</w:t>
      </w:r>
    </w:p>
    <w:p>
      <w:pPr>
        <w:suppressAutoHyphens/>
        <w:adjustRightInd w:val="0"/>
        <w:spacing w:before="312" w:beforeLines="100" w:after="312" w:afterLines="100" w:line="560" w:lineRule="exact"/>
        <w:jc w:val="center"/>
        <w:rPr>
          <w:rFonts w:ascii="华文中宋" w:hAnsi="华文中宋" w:eastAsia="华文中宋"/>
          <w:kern w:val="0"/>
          <w:sz w:val="48"/>
          <w:szCs w:val="48"/>
        </w:rPr>
      </w:pPr>
      <w:r>
        <w:rPr>
          <w:rFonts w:hint="eastAsia" w:ascii="华文中宋" w:hAnsi="华文中宋" w:eastAsia="华文中宋"/>
          <w:kern w:val="0"/>
          <w:sz w:val="48"/>
          <w:szCs w:val="48"/>
        </w:rPr>
        <w:t>政府信息公</w:t>
      </w:r>
      <w:r>
        <w:rPr>
          <w:rFonts w:hint="eastAsia" w:ascii="华文中宋" w:hAnsi="华文中宋" w:eastAsia="华文中宋" w:cs="宋体"/>
          <w:kern w:val="0"/>
          <w:sz w:val="48"/>
          <w:szCs w:val="48"/>
        </w:rPr>
        <w:t>开</w:t>
      </w:r>
      <w:r>
        <w:rPr>
          <w:rFonts w:hint="eastAsia" w:ascii="华文中宋" w:hAnsi="华文中宋" w:eastAsia="华文中宋" w:cs="Dotum"/>
          <w:kern w:val="0"/>
          <w:sz w:val="48"/>
          <w:szCs w:val="48"/>
        </w:rPr>
        <w:t>工作年度</w:t>
      </w:r>
      <w:r>
        <w:rPr>
          <w:rFonts w:hint="eastAsia" w:ascii="华文中宋" w:hAnsi="华文中宋" w:eastAsia="华文中宋" w:cs="宋体"/>
          <w:kern w:val="0"/>
          <w:sz w:val="48"/>
          <w:szCs w:val="48"/>
        </w:rPr>
        <w:t>报</w:t>
      </w:r>
      <w:r>
        <w:rPr>
          <w:rFonts w:hint="eastAsia" w:ascii="华文中宋" w:hAnsi="华文中宋" w:eastAsia="华文中宋" w:cs="Dotum"/>
          <w:kern w:val="0"/>
          <w:sz w:val="48"/>
          <w:szCs w:val="48"/>
        </w:rPr>
        <w:t>告</w:t>
      </w:r>
    </w:p>
    <w:p>
      <w:pPr>
        <w:suppressAutoHyphens/>
        <w:adjustRightInd w:val="0"/>
        <w:spacing w:before="312" w:beforeLines="100" w:after="312" w:afterLines="100" w:line="560" w:lineRule="exact"/>
        <w:jc w:val="center"/>
        <w:rPr>
          <w:rFonts w:ascii="楷体_GB2312" w:hAnsi="华文中宋" w:eastAsia="楷体_GB2312"/>
          <w:b/>
          <w:kern w:val="0"/>
          <w:sz w:val="44"/>
          <w:szCs w:val="44"/>
        </w:rPr>
      </w:pPr>
      <w:r>
        <w:rPr>
          <w:rFonts w:hint="eastAsia" w:ascii="楷体_GB2312" w:hAnsi="汉仪大宋简" w:eastAsia="楷体_GB2312"/>
          <w:color w:val="000000"/>
          <w:kern w:val="0"/>
          <w:sz w:val="32"/>
          <w:szCs w:val="32"/>
        </w:rPr>
        <w:t xml:space="preserve"> </w:t>
      </w: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312" w:beforeLines="100" w:after="312" w:afterLines="100" w:line="560" w:lineRule="exact"/>
        <w:jc w:val="center"/>
        <w:rPr>
          <w:rFonts w:ascii="华文中宋" w:hAnsi="华文中宋" w:eastAsia="华文中宋"/>
          <w:b/>
          <w:kern w:val="0"/>
          <w:sz w:val="44"/>
          <w:szCs w:val="44"/>
        </w:rPr>
      </w:pPr>
    </w:p>
    <w:p>
      <w:pPr>
        <w:suppressAutoHyphens/>
        <w:adjustRightInd w:val="0"/>
        <w:spacing w:before="156" w:beforeLines="50" w:after="156" w:afterLines="50" w:line="560" w:lineRule="exact"/>
        <w:jc w:val="center"/>
        <w:rPr>
          <w:rFonts w:ascii="楷体_GB2312" w:hAnsi="华文中宋" w:eastAsia="楷体_GB2312"/>
          <w:kern w:val="0"/>
          <w:sz w:val="36"/>
          <w:szCs w:val="36"/>
        </w:rPr>
      </w:pPr>
      <w:r>
        <w:rPr>
          <w:rFonts w:hint="eastAsia" w:ascii="楷体_GB2312" w:hAnsi="华文中宋" w:eastAsia="楷体_GB2312"/>
          <w:kern w:val="0"/>
          <w:sz w:val="36"/>
          <w:szCs w:val="36"/>
        </w:rPr>
        <w:t>北京市东城区人民政府龙潭街道办事处</w:t>
      </w:r>
    </w:p>
    <w:p>
      <w:pPr>
        <w:suppressAutoHyphens/>
        <w:adjustRightInd w:val="0"/>
        <w:spacing w:before="156" w:beforeLines="50" w:after="156" w:afterLines="50" w:line="560" w:lineRule="exact"/>
        <w:jc w:val="center"/>
        <w:rPr>
          <w:rFonts w:ascii="楷体_GB2312" w:hAnsi="华文中宋" w:eastAsia="楷体_GB2312"/>
          <w:kern w:val="0"/>
          <w:sz w:val="36"/>
          <w:szCs w:val="36"/>
        </w:rPr>
      </w:pPr>
      <w:r>
        <w:rPr>
          <w:rFonts w:hint="eastAsia" w:ascii="楷体_GB2312" w:hAnsi="华文中宋" w:eastAsia="楷体_GB2312"/>
          <w:kern w:val="0"/>
          <w:sz w:val="36"/>
          <w:szCs w:val="36"/>
        </w:rPr>
        <w:t>201</w:t>
      </w:r>
      <w:r>
        <w:rPr>
          <w:rFonts w:hint="eastAsia" w:ascii="楷体_GB2312" w:hAnsi="华文中宋" w:eastAsia="楷体_GB2312"/>
          <w:kern w:val="0"/>
          <w:sz w:val="36"/>
          <w:szCs w:val="36"/>
          <w:lang w:val="en-US" w:eastAsia="zh-CN"/>
        </w:rPr>
        <w:t>9</w:t>
      </w:r>
      <w:r>
        <w:rPr>
          <w:rFonts w:hint="eastAsia" w:ascii="楷体_GB2312" w:hAnsi="Dotum" w:eastAsia="楷体_GB2312" w:cs="Dotum"/>
          <w:kern w:val="0"/>
          <w:sz w:val="36"/>
          <w:szCs w:val="36"/>
        </w:rPr>
        <w:t>年3月</w:t>
      </w:r>
    </w:p>
    <w:p>
      <w:pPr>
        <w:spacing w:line="560" w:lineRule="exact"/>
        <w:rPr>
          <w:sz w:val="32"/>
          <w:szCs w:val="32"/>
        </w:rPr>
      </w:pPr>
    </w:p>
    <w:p>
      <w:pPr>
        <w:widowControl/>
        <w:spacing w:line="560" w:lineRule="exact"/>
        <w:jc w:val="center"/>
        <w:rPr>
          <w:rFonts w:hint="eastAsia" w:ascii="仿宋_GB2312" w:hAnsi="宋体" w:eastAsia="仿宋_GB2312"/>
          <w:sz w:val="32"/>
          <w:szCs w:val="32"/>
        </w:rPr>
      </w:pPr>
      <w:r>
        <w:rPr>
          <w:rFonts w:hint="eastAsia" w:ascii="Times New Roman" w:hAnsi="Times New Roman" w:eastAsia="黑体"/>
          <w:kern w:val="0"/>
          <w:sz w:val="32"/>
          <w:szCs w:val="32"/>
        </w:rPr>
        <w:t>引</w:t>
      </w:r>
      <w:r>
        <w:rPr>
          <w:rFonts w:hint="eastAsia" w:eastAsia="黑体"/>
          <w:kern w:val="0"/>
          <w:sz w:val="32"/>
          <w:szCs w:val="32"/>
          <w:lang w:val="en-US" w:eastAsia="zh-CN"/>
        </w:rPr>
        <w:t xml:space="preserve">  </w:t>
      </w:r>
      <w:r>
        <w:rPr>
          <w:rFonts w:hint="eastAsia" w:ascii="Times New Roman" w:hAnsi="Times New Roman" w:eastAsia="黑体"/>
          <w:kern w:val="0"/>
          <w:sz w:val="32"/>
          <w:szCs w:val="32"/>
        </w:rPr>
        <w:t>言</w:t>
      </w:r>
    </w:p>
    <w:p>
      <w:pPr>
        <w:widowControl/>
        <w:spacing w:line="560" w:lineRule="exact"/>
        <w:ind w:firstLine="640" w:firstLineChars="200"/>
        <w:rPr>
          <w:rFonts w:hint="eastAsia" w:ascii="仿宋_GB2312" w:hAnsi="宋体" w:eastAsia="仿宋_GB2312"/>
          <w:sz w:val="32"/>
          <w:szCs w:val="32"/>
        </w:rPr>
      </w:pP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本报告根据《中华人民共和国政府信息公开条例》和《北京市政府信息公开规定》要求，由北京市东城区人民政府龙潭街道办事处编制。</w:t>
      </w:r>
    </w:p>
    <w:p>
      <w:pPr>
        <w:widowControl/>
        <w:spacing w:line="56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kern w:val="0"/>
          <w:sz w:val="32"/>
          <w:szCs w:val="32"/>
        </w:rPr>
        <w:t>全文包括</w:t>
      </w:r>
      <w:r>
        <w:rPr>
          <w:rFonts w:hint="eastAsia" w:ascii="仿宋_GB2312" w:hAnsi="宋体" w:eastAsia="仿宋_GB2312" w:cs="宋体"/>
          <w:kern w:val="0"/>
          <w:sz w:val="32"/>
          <w:szCs w:val="32"/>
          <w:lang w:eastAsia="zh-CN"/>
        </w:rPr>
        <w:t>龙潭街道</w:t>
      </w:r>
      <w:r>
        <w:rPr>
          <w:rFonts w:hint="eastAsia" w:ascii="仿宋_GB2312" w:hAnsi="华文中宋" w:eastAsia="仿宋_GB2312" w:cs="Times New Roman"/>
          <w:sz w:val="32"/>
          <w:szCs w:val="32"/>
        </w:rPr>
        <w:t>落实《北京市东城区201</w:t>
      </w:r>
      <w:r>
        <w:rPr>
          <w:rFonts w:hint="eastAsia" w:ascii="仿宋_GB2312" w:hAnsi="华文中宋" w:eastAsia="仿宋_GB2312" w:cs="Times New Roman"/>
          <w:sz w:val="32"/>
          <w:szCs w:val="32"/>
          <w:lang w:val="en-US" w:eastAsia="zh-CN"/>
        </w:rPr>
        <w:t>8</w:t>
      </w:r>
      <w:r>
        <w:rPr>
          <w:rFonts w:hint="eastAsia" w:ascii="仿宋_GB2312" w:hAnsi="华文中宋" w:eastAsia="仿宋_GB2312" w:cs="Times New Roman"/>
          <w:sz w:val="32"/>
          <w:szCs w:val="32"/>
        </w:rPr>
        <w:t>年政务公开工作要点》，以及</w:t>
      </w:r>
      <w:r>
        <w:rPr>
          <w:rFonts w:hint="eastAsia" w:ascii="仿宋_GB2312" w:hAnsi="宋体" w:eastAsia="仿宋_GB2312" w:cs="宋体"/>
          <w:color w:val="000000"/>
          <w:kern w:val="0"/>
          <w:sz w:val="32"/>
          <w:szCs w:val="32"/>
        </w:rPr>
        <w:t>政府信息公开组织机构、制度建设、渠道场所、教育培训等工作情况</w:t>
      </w:r>
      <w:r>
        <w:rPr>
          <w:rFonts w:hint="eastAsia" w:ascii="仿宋_GB2312" w:hAnsi="华文中宋" w:eastAsia="仿宋_GB2312" w:cs="Times New Roman"/>
          <w:sz w:val="32"/>
          <w:szCs w:val="32"/>
        </w:rPr>
        <w:t>；</w:t>
      </w:r>
      <w:r>
        <w:rPr>
          <w:rFonts w:hint="eastAsia" w:ascii="仿宋_GB2312" w:hAnsi="宋体" w:eastAsia="仿宋_GB2312" w:cs="宋体"/>
          <w:color w:val="000000"/>
          <w:kern w:val="0"/>
          <w:sz w:val="32"/>
          <w:szCs w:val="32"/>
        </w:rPr>
        <w:t>主动公开政府信息的情况；依申请公开政府信息和不予公开政府信息的情况</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因政府信息公开申请行政复议、提起行政诉讼的情况；政府信息公开工作存在的不足以及改进措施</w:t>
      </w:r>
      <w:r>
        <w:rPr>
          <w:rFonts w:hint="eastAsia" w:ascii="仿宋_GB2312" w:hAnsi="宋体" w:eastAsia="仿宋_GB2312" w:cs="宋体"/>
          <w:color w:val="000000"/>
          <w:kern w:val="0"/>
          <w:sz w:val="32"/>
          <w:szCs w:val="32"/>
          <w:lang w:eastAsia="zh-CN"/>
        </w:rPr>
        <w:t>。</w:t>
      </w:r>
    </w:p>
    <w:p>
      <w:pPr>
        <w:widowControl/>
        <w:wordWrap w:val="0"/>
        <w:adjustRightInd/>
        <w:snapToGrid/>
        <w:spacing w:line="560" w:lineRule="exact"/>
        <w:ind w:left="0" w:leftChars="0" w:right="0" w:firstLine="640" w:firstLineChars="200"/>
        <w:jc w:val="both"/>
        <w:textAlignment w:val="auto"/>
        <w:outlineLvl w:val="9"/>
        <w:rPr>
          <w:rFonts w:ascii="仿宋_GB2312" w:hAnsi="宋体" w:eastAsia="仿宋_GB2312" w:cs="宋体"/>
          <w:kern w:val="15"/>
          <w:sz w:val="32"/>
          <w:szCs w:val="32"/>
        </w:rPr>
      </w:pPr>
      <w:r>
        <w:rPr>
          <w:rFonts w:hint="eastAsia" w:ascii="仿宋_GB2312" w:hAnsi="宋体" w:eastAsia="仿宋_GB2312" w:cs="宋体"/>
          <w:kern w:val="0"/>
          <w:sz w:val="32"/>
          <w:szCs w:val="32"/>
        </w:rPr>
        <w:t>本报告中所列数据的统计期限自201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年1月1日起，至201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年12月31日止。本报告的电子</w:t>
      </w:r>
      <w:r>
        <w:rPr>
          <w:rFonts w:hint="eastAsia" w:ascii="仿宋_GB2312" w:hAnsi="宋体" w:eastAsia="仿宋_GB2312" w:cs="宋体"/>
          <w:spacing w:val="-2"/>
          <w:kern w:val="0"/>
          <w:sz w:val="32"/>
          <w:szCs w:val="32"/>
        </w:rPr>
        <w:t>版可在龙潭街道办事处</w:t>
      </w:r>
      <w:r>
        <w:rPr>
          <w:rFonts w:hint="eastAsia" w:ascii="仿宋_GB2312" w:hAnsi="宋体" w:eastAsia="仿宋_GB2312" w:cs="宋体"/>
          <w:spacing w:val="-2"/>
          <w:kern w:val="0"/>
          <w:sz w:val="32"/>
          <w:szCs w:val="32"/>
          <w:lang w:eastAsia="zh-CN"/>
        </w:rPr>
        <w:t>政府信息公开专栏</w:t>
      </w:r>
      <w:r>
        <w:rPr>
          <w:rFonts w:hint="eastAsia" w:ascii="仿宋_GB2312" w:hAnsi="宋体" w:eastAsia="仿宋_GB2312" w:cs="宋体"/>
          <w:spacing w:val="-2"/>
          <w:kern w:val="0"/>
          <w:sz w:val="32"/>
          <w:szCs w:val="32"/>
        </w:rPr>
        <w:t>下载。</w:t>
      </w:r>
      <w:r>
        <w:rPr>
          <w:rFonts w:hint="eastAsia" w:ascii="仿宋_GB2312" w:hAnsi="宋体" w:eastAsia="仿宋_GB2312" w:cs="宋体"/>
          <w:kern w:val="0"/>
          <w:sz w:val="32"/>
          <w:szCs w:val="32"/>
        </w:rPr>
        <w:t>如对报告有疑问，请与北京市东城区人民政府龙潭街道</w:t>
      </w:r>
      <w:r>
        <w:rPr>
          <w:rFonts w:hint="eastAsia" w:ascii="仿宋_GB2312" w:hAnsi="宋体" w:eastAsia="仿宋_GB2312" w:cs="宋体"/>
          <w:kern w:val="0"/>
          <w:sz w:val="32"/>
          <w:szCs w:val="32"/>
          <w:lang w:eastAsia="zh-CN"/>
        </w:rPr>
        <w:t>综合保障</w:t>
      </w:r>
      <w:r>
        <w:rPr>
          <w:rFonts w:hint="eastAsia" w:ascii="仿宋_GB2312" w:hAnsi="宋体" w:eastAsia="仿宋_GB2312" w:cs="宋体"/>
          <w:kern w:val="0"/>
          <w:sz w:val="32"/>
          <w:szCs w:val="32"/>
        </w:rPr>
        <w:t>办公室联系（地址:北京市东城区广渠门南水关甲7号；邮编：100061；</w:t>
      </w:r>
      <w:r>
        <w:rPr>
          <w:rFonts w:hint="eastAsia" w:ascii="仿宋_GB2312" w:hAnsi="宋体" w:eastAsia="仿宋_GB2312" w:cs="宋体"/>
          <w:spacing w:val="-12"/>
          <w:kern w:val="15"/>
          <w:sz w:val="32"/>
          <w:szCs w:val="32"/>
        </w:rPr>
        <w:t>联系电话：010-67120375；电子邮箱：</w:t>
      </w:r>
      <w:r>
        <w:rPr>
          <w:rFonts w:hint="eastAsia" w:eastAsia="仿宋_GB2312"/>
          <w:spacing w:val="-2"/>
          <w:kern w:val="0"/>
          <w:sz w:val="32"/>
          <w:szCs w:val="32"/>
        </w:rPr>
        <w:t>ltzhbzb@bjdch.gov.cn</w:t>
      </w:r>
      <w:r>
        <w:rPr>
          <w:rFonts w:hint="eastAsia" w:ascii="仿宋_GB2312" w:hAnsi="宋体" w:eastAsia="仿宋_GB2312" w:cs="宋体"/>
          <w:spacing w:val="-12"/>
          <w:kern w:val="15"/>
          <w:sz w:val="32"/>
          <w:szCs w:val="32"/>
        </w:rPr>
        <w:t>）。</w:t>
      </w: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widowControl/>
        <w:spacing w:line="560" w:lineRule="exact"/>
        <w:ind w:firstLine="640" w:firstLineChars="200"/>
        <w:rPr>
          <w:rFonts w:ascii="黑体" w:hAnsi="宋体" w:eastAsia="黑体" w:cs="宋体"/>
          <w:kern w:val="0"/>
          <w:sz w:val="32"/>
          <w:szCs w:val="32"/>
        </w:rPr>
      </w:pPr>
    </w:p>
    <w:p>
      <w:pPr>
        <w:adjustRightInd w:val="0"/>
        <w:snapToGrid w:val="0"/>
        <w:spacing w:line="560" w:lineRule="exact"/>
        <w:ind w:firstLine="640" w:firstLineChars="200"/>
        <w:rPr>
          <w:rFonts w:hint="eastAsia" w:ascii="黑体" w:hAnsi="黑体" w:eastAsia="黑体"/>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eastAsia="zh-CN"/>
        </w:rPr>
        <w:t>龙潭街道</w:t>
      </w:r>
      <w:r>
        <w:rPr>
          <w:rFonts w:hint="eastAsia" w:ascii="仿宋_GB2312" w:eastAsia="仿宋_GB2312"/>
          <w:sz w:val="32"/>
          <w:szCs w:val="32"/>
        </w:rPr>
        <w:t>深入学习贯彻党的十九大精神，以习近平新时代中国特色社会主义思想</w:t>
      </w:r>
      <w:r>
        <w:rPr>
          <w:rFonts w:hint="eastAsia" w:ascii="仿宋_GB2312" w:eastAsia="仿宋_GB2312"/>
          <w:sz w:val="32"/>
          <w:szCs w:val="32"/>
          <w:lang w:eastAsia="zh-CN"/>
        </w:rPr>
        <w:t>为指引，以习近平总书记视察北京重要讲话精神为根本遵循，深入贯彻市、区相关</w:t>
      </w:r>
      <w:r>
        <w:rPr>
          <w:rFonts w:hint="eastAsia" w:ascii="仿宋_GB2312" w:eastAsia="仿宋_GB2312"/>
          <w:sz w:val="32"/>
          <w:szCs w:val="32"/>
        </w:rPr>
        <w:t>决策部署，</w:t>
      </w:r>
      <w:r>
        <w:rPr>
          <w:rFonts w:hint="eastAsia" w:ascii="仿宋_GB2312" w:hAnsi="仿宋_GB2312" w:eastAsia="仿宋_GB2312" w:cs="仿宋_GB2312"/>
          <w:sz w:val="32"/>
          <w:szCs w:val="32"/>
        </w:rPr>
        <w:t>认真落实《北京市201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年政务公开工作要点》、《东城区201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年政务公开工作要点》等市、区文件要求，</w:t>
      </w:r>
      <w:r>
        <w:rPr>
          <w:rFonts w:hint="eastAsia" w:ascii="仿宋_GB2312" w:eastAsia="仿宋_GB2312"/>
          <w:sz w:val="32"/>
          <w:szCs w:val="32"/>
        </w:rPr>
        <w:t>努力在</w:t>
      </w:r>
      <w:r>
        <w:rPr>
          <w:rFonts w:hint="eastAsia" w:ascii="仿宋_GB2312" w:hAnsi="黑体" w:eastAsia="仿宋_GB2312" w:cs="仿宋_GB2312"/>
          <w:sz w:val="32"/>
          <w:szCs w:val="32"/>
        </w:rPr>
        <w:t>信息</w:t>
      </w:r>
      <w:r>
        <w:rPr>
          <w:rFonts w:hint="eastAsia" w:ascii="仿宋_GB2312" w:hAnsi="宋体" w:eastAsia="仿宋_GB2312" w:cs="仿宋_GB2312"/>
          <w:sz w:val="32"/>
          <w:szCs w:val="32"/>
        </w:rPr>
        <w:t>公开、解读回应、公众参与、网站建设等领域实现新突破，持续推进法治政府和服务型政府建设。</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一、年度重点工作情况</w:t>
      </w:r>
    </w:p>
    <w:p>
      <w:pPr>
        <w:numPr>
          <w:ilvl w:val="0"/>
          <w:numId w:val="0"/>
        </w:numPr>
        <w:wordWrap/>
        <w:spacing w:line="560" w:lineRule="exact"/>
        <w:ind w:left="645" w:leftChars="0" w:right="0"/>
        <w:jc w:val="both"/>
        <w:textAlignment w:val="auto"/>
        <w:outlineLvl w:val="9"/>
        <w:rPr>
          <w:rFonts w:hint="eastAsia" w:ascii="楷体_GB2312" w:eastAsia="楷体_GB2312" w:cs="楷体_GB2312"/>
          <w:b/>
          <w:i w:val="0"/>
          <w:caps w:val="0"/>
          <w:color w:val="auto"/>
          <w:spacing w:val="0"/>
          <w:kern w:val="0"/>
          <w:sz w:val="32"/>
          <w:szCs w:val="32"/>
          <w:highlight w:val="none"/>
          <w:lang w:val="en-US" w:eastAsia="zh-CN" w:bidi="ar-SA"/>
        </w:rPr>
      </w:pPr>
      <w:r>
        <w:rPr>
          <w:rFonts w:hint="eastAsia" w:ascii="楷体_GB2312" w:eastAsia="楷体_GB2312" w:cs="楷体_GB2312"/>
          <w:b/>
          <w:i w:val="0"/>
          <w:caps w:val="0"/>
          <w:color w:val="auto"/>
          <w:spacing w:val="0"/>
          <w:kern w:val="0"/>
          <w:sz w:val="32"/>
          <w:szCs w:val="32"/>
          <w:highlight w:val="none"/>
          <w:lang w:val="en-US" w:eastAsia="zh-CN" w:bidi="ar-SA"/>
        </w:rPr>
        <w:t>（一）组织健全，加大队伍建设力度</w:t>
      </w:r>
    </w:p>
    <w:p>
      <w:pPr>
        <w:wordWrap/>
        <w:spacing w:line="560" w:lineRule="exact"/>
        <w:ind w:left="0" w:leftChars="0" w:right="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以办事处主任为主要负责人，主管副主任为具体负责人，由</w:t>
      </w:r>
      <w:r>
        <w:rPr>
          <w:rFonts w:hint="eastAsia" w:ascii="仿宋_GB2312" w:eastAsia="仿宋_GB2312"/>
          <w:color w:val="auto"/>
          <w:sz w:val="32"/>
          <w:szCs w:val="32"/>
          <w:highlight w:val="none"/>
          <w:lang w:eastAsia="zh-CN"/>
        </w:rPr>
        <w:t>综合保障办公室</w:t>
      </w:r>
      <w:r>
        <w:rPr>
          <w:rFonts w:hint="eastAsia" w:ascii="仿宋_GB2312" w:eastAsia="仿宋_GB2312"/>
          <w:color w:val="auto"/>
          <w:sz w:val="32"/>
          <w:szCs w:val="32"/>
          <w:highlight w:val="none"/>
        </w:rPr>
        <w:t>牵头、各部门按照职责分工密切配合</w:t>
      </w:r>
      <w:r>
        <w:rPr>
          <w:rFonts w:hint="eastAsia" w:ascii="仿宋_GB2312" w:eastAsia="仿宋_GB2312"/>
          <w:color w:val="auto"/>
          <w:sz w:val="32"/>
          <w:szCs w:val="32"/>
          <w:highlight w:val="none"/>
          <w:lang w:eastAsia="zh-CN"/>
        </w:rPr>
        <w:t>。主要领导全年召开政府信息公开工作会议或或研究相关议题</w:t>
      </w:r>
      <w:r>
        <w:rPr>
          <w:rFonts w:hint="eastAsia" w:ascii="仿宋_GB2312" w:eastAsia="仿宋_GB2312"/>
          <w:color w:val="auto"/>
          <w:sz w:val="32"/>
          <w:szCs w:val="32"/>
          <w:highlight w:val="none"/>
          <w:lang w:val="en-US" w:eastAsia="zh-CN"/>
        </w:rPr>
        <w:t>4次。主管领导</w:t>
      </w:r>
      <w:r>
        <w:rPr>
          <w:rFonts w:hint="eastAsia" w:ascii="仿宋_GB2312" w:eastAsia="仿宋_GB2312"/>
          <w:color w:val="auto"/>
          <w:sz w:val="32"/>
          <w:szCs w:val="32"/>
          <w:highlight w:val="none"/>
        </w:rPr>
        <w:t>定期召开月度工作会，学习信息公开相关法律法规，交流信息公开工作中的好做法、好体会及亮点信息写作经验，研讨当月信息公开工作要点。以街道“干部队伍建设月”为载体，组织开展政务信息写作、信息公开法规等内容为主题的系列培训</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场，累计培训学员</w:t>
      </w:r>
      <w:r>
        <w:rPr>
          <w:rFonts w:hint="eastAsia" w:ascii="仿宋_GB2312" w:eastAsia="仿宋_GB2312"/>
          <w:color w:val="auto"/>
          <w:sz w:val="32"/>
          <w:szCs w:val="32"/>
          <w:highlight w:val="none"/>
          <w:lang w:val="en-US" w:eastAsia="zh-CN"/>
        </w:rPr>
        <w:t>95</w:t>
      </w:r>
      <w:r>
        <w:rPr>
          <w:rFonts w:hint="eastAsia" w:ascii="仿宋_GB2312" w:eastAsia="仿宋_GB2312"/>
          <w:color w:val="auto"/>
          <w:sz w:val="32"/>
          <w:szCs w:val="32"/>
          <w:highlight w:val="none"/>
        </w:rPr>
        <w:t>人次，达到信息公开质量与信息公开数量双结合，信息公开工作与主体业务双促进，信息公开与信息写作双提升的效果</w:t>
      </w:r>
      <w:r>
        <w:rPr>
          <w:rFonts w:hint="eastAsia" w:ascii="仿宋_GB2312" w:eastAsia="仿宋_GB2312"/>
          <w:color w:val="auto"/>
          <w:sz w:val="32"/>
          <w:szCs w:val="32"/>
          <w:highlight w:val="none"/>
          <w:lang w:eastAsia="zh-CN"/>
        </w:rPr>
        <w:t>。</w:t>
      </w:r>
    </w:p>
    <w:p>
      <w:pPr>
        <w:widowControl/>
        <w:wordWrap/>
        <w:spacing w:beforeAutospacing="0" w:afterAutospacing="0" w:line="560" w:lineRule="exact"/>
        <w:ind w:left="0" w:leftChars="0" w:right="0" w:firstLine="645"/>
        <w:jc w:val="both"/>
        <w:textAlignment w:val="auto"/>
        <w:outlineLvl w:val="9"/>
        <w:rPr>
          <w:rFonts w:ascii="宋体" w:hAnsi="宋体" w:eastAsia="宋体" w:cs="宋体"/>
          <w:b w:val="0"/>
          <w:i w:val="0"/>
          <w:caps w:val="0"/>
          <w:color w:val="auto"/>
          <w:spacing w:val="0"/>
          <w:sz w:val="21"/>
          <w:szCs w:val="21"/>
          <w:highlight w:val="none"/>
        </w:rPr>
      </w:pPr>
      <w:r>
        <w:rPr>
          <w:rFonts w:hint="default" w:ascii="Times New Roman" w:hAnsi="Times New Roman" w:eastAsia="楷体_GB2312" w:cs="Times New Roman"/>
          <w:b/>
          <w:i w:val="0"/>
          <w:caps w:val="0"/>
          <w:color w:val="auto"/>
          <w:spacing w:val="0"/>
          <w:kern w:val="0"/>
          <w:sz w:val="32"/>
          <w:szCs w:val="32"/>
          <w:highlight w:val="none"/>
          <w:lang w:val="en-US" w:eastAsia="zh-CN" w:bidi="ar-SA"/>
        </w:rPr>
        <w:t>（</w:t>
      </w:r>
      <w:r>
        <w:rPr>
          <w:rFonts w:hint="eastAsia" w:eastAsia="楷体_GB2312" w:cs="Times New Roman"/>
          <w:b/>
          <w:i w:val="0"/>
          <w:caps w:val="0"/>
          <w:color w:val="auto"/>
          <w:spacing w:val="0"/>
          <w:kern w:val="0"/>
          <w:sz w:val="32"/>
          <w:szCs w:val="32"/>
          <w:highlight w:val="none"/>
          <w:lang w:val="en-US" w:eastAsia="zh-CN" w:bidi="ar-SA"/>
        </w:rPr>
        <w:t>二</w:t>
      </w:r>
      <w:r>
        <w:rPr>
          <w:rFonts w:hint="default" w:ascii="Times New Roman" w:hAnsi="Times New Roman" w:eastAsia="楷体_GB2312" w:cs="Times New Roman"/>
          <w:b/>
          <w:i w:val="0"/>
          <w:caps w:val="0"/>
          <w:color w:val="auto"/>
          <w:spacing w:val="0"/>
          <w:kern w:val="0"/>
          <w:sz w:val="32"/>
          <w:szCs w:val="32"/>
          <w:highlight w:val="none"/>
          <w:lang w:val="en-US" w:eastAsia="zh-CN" w:bidi="ar-SA"/>
        </w:rPr>
        <w:t>）突出重点，着力推进“五公开”工作</w:t>
      </w:r>
    </w:p>
    <w:p>
      <w:pPr>
        <w:wordWrap/>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推进网站集约化建设，将街道慧民服务网合并至东城区“数字东城”主站。</w:t>
      </w:r>
      <w:r>
        <w:rPr>
          <w:rFonts w:hint="eastAsia" w:ascii="仿宋_GB2312" w:hAnsi="仿宋_GB2312" w:eastAsia="仿宋_GB2312" w:cs="仿宋_GB2312"/>
          <w:color w:val="auto"/>
          <w:sz w:val="32"/>
          <w:szCs w:val="28"/>
          <w:highlight w:val="none"/>
          <w:lang w:eastAsia="zh-CN"/>
        </w:rPr>
        <w:t>结合各部门工作职责梳理政务公开全清单，共梳理各类事项</w:t>
      </w:r>
      <w:r>
        <w:rPr>
          <w:rFonts w:hint="eastAsia" w:ascii="仿宋_GB2312" w:hAnsi="仿宋_GB2312" w:eastAsia="仿宋_GB2312" w:cs="仿宋_GB2312"/>
          <w:color w:val="auto"/>
          <w:sz w:val="32"/>
          <w:szCs w:val="28"/>
          <w:highlight w:val="none"/>
          <w:lang w:val="en-US" w:eastAsia="zh-CN"/>
        </w:rPr>
        <w:t>556条。</w:t>
      </w:r>
      <w:r>
        <w:rPr>
          <w:rFonts w:hint="eastAsia" w:ascii="仿宋_GB2312" w:hAnsi="仿宋_GB2312" w:eastAsia="仿宋_GB2312" w:cs="仿宋_GB2312"/>
          <w:color w:val="auto"/>
          <w:sz w:val="32"/>
          <w:szCs w:val="32"/>
          <w:highlight w:val="none"/>
          <w:lang w:eastAsia="zh-CN"/>
        </w:rPr>
        <w:t>进一步细化公开行政职权运行各环节对应的责任，对权力清单进行动态调整。采取居民代表座谈、展板公示等多种渠道，广泛征求居民对</w:t>
      </w:r>
      <w:r>
        <w:rPr>
          <w:rFonts w:hint="eastAsia" w:ascii="仿宋_GB2312" w:hAnsi="仿宋_GB2312" w:eastAsia="仿宋_GB2312" w:cs="仿宋_GB2312"/>
          <w:color w:val="auto"/>
          <w:sz w:val="32"/>
          <w:szCs w:val="32"/>
          <w:highlight w:val="none"/>
        </w:rPr>
        <w:t>201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街道</w:t>
      </w:r>
      <w:r>
        <w:rPr>
          <w:rFonts w:hint="eastAsia" w:ascii="仿宋_GB2312" w:hAnsi="仿宋_GB2312" w:eastAsia="仿宋_GB2312" w:cs="仿宋_GB2312"/>
          <w:color w:val="auto"/>
          <w:sz w:val="32"/>
          <w:szCs w:val="32"/>
          <w:highlight w:val="none"/>
        </w:rPr>
        <w:t>“百街千巷”环境整治提升工作设计</w:t>
      </w:r>
      <w:r>
        <w:rPr>
          <w:rFonts w:hint="eastAsia" w:ascii="仿宋_GB2312" w:hAnsi="仿宋_GB2312" w:eastAsia="仿宋_GB2312" w:cs="仿宋_GB2312"/>
          <w:color w:val="auto"/>
          <w:sz w:val="32"/>
          <w:szCs w:val="32"/>
          <w:highlight w:val="none"/>
          <w:lang w:eastAsia="zh-CN"/>
        </w:rPr>
        <w:t>意见，并</w:t>
      </w:r>
      <w:r>
        <w:rPr>
          <w:rFonts w:hint="eastAsia" w:ascii="仿宋_GB2312" w:hAnsi="仿宋_GB2312" w:eastAsia="仿宋_GB2312" w:cs="仿宋_GB2312"/>
          <w:color w:val="auto"/>
          <w:sz w:val="32"/>
          <w:szCs w:val="32"/>
          <w:highlight w:val="none"/>
        </w:rPr>
        <w:t>根据居民意愿，</w:t>
      </w:r>
      <w:r>
        <w:rPr>
          <w:rFonts w:hint="eastAsia" w:ascii="仿宋_GB2312" w:hAnsi="仿宋_GB2312" w:eastAsia="仿宋_GB2312" w:cs="仿宋_GB2312"/>
          <w:color w:val="auto"/>
          <w:sz w:val="32"/>
          <w:szCs w:val="32"/>
          <w:highlight w:val="none"/>
          <w:lang w:eastAsia="zh-CN"/>
        </w:rPr>
        <w:t>结合工作实际，多</w:t>
      </w:r>
      <w:r>
        <w:rPr>
          <w:rFonts w:hint="eastAsia" w:ascii="仿宋_GB2312" w:hAnsi="仿宋_GB2312" w:eastAsia="仿宋_GB2312" w:cs="仿宋_GB2312"/>
          <w:color w:val="auto"/>
          <w:sz w:val="32"/>
          <w:szCs w:val="32"/>
          <w:highlight w:val="none"/>
        </w:rPr>
        <w:t>次完善设计方案。</w:t>
      </w:r>
    </w:p>
    <w:p>
      <w:pPr>
        <w:widowControl/>
        <w:wordWrap/>
        <w:spacing w:beforeAutospacing="0" w:afterAutospacing="0" w:line="560" w:lineRule="exact"/>
        <w:ind w:left="0" w:leftChars="0" w:right="0" w:firstLine="645"/>
        <w:jc w:val="both"/>
        <w:textAlignment w:val="auto"/>
        <w:outlineLvl w:val="9"/>
        <w:rPr>
          <w:rFonts w:ascii="宋体" w:hAnsi="宋体" w:eastAsia="宋体" w:cs="宋体"/>
          <w:b w:val="0"/>
          <w:i w:val="0"/>
          <w:caps w:val="0"/>
          <w:color w:val="auto"/>
          <w:spacing w:val="0"/>
          <w:sz w:val="21"/>
          <w:szCs w:val="21"/>
          <w:highlight w:val="none"/>
        </w:rPr>
      </w:pPr>
      <w:r>
        <w:rPr>
          <w:rFonts w:hint="default" w:ascii="Times New Roman" w:hAnsi="Times New Roman" w:eastAsia="楷体_GB2312" w:cs="Times New Roman"/>
          <w:b/>
          <w:i w:val="0"/>
          <w:caps w:val="0"/>
          <w:color w:val="auto"/>
          <w:spacing w:val="0"/>
          <w:kern w:val="0"/>
          <w:sz w:val="32"/>
          <w:szCs w:val="32"/>
          <w:highlight w:val="none"/>
          <w:lang w:val="en-US" w:eastAsia="zh-CN" w:bidi="ar-SA"/>
        </w:rPr>
        <w:t>（</w:t>
      </w:r>
      <w:r>
        <w:rPr>
          <w:rFonts w:hint="eastAsia" w:eastAsia="楷体_GB2312" w:cs="Times New Roman"/>
          <w:b/>
          <w:i w:val="0"/>
          <w:caps w:val="0"/>
          <w:color w:val="auto"/>
          <w:spacing w:val="0"/>
          <w:kern w:val="0"/>
          <w:sz w:val="32"/>
          <w:szCs w:val="32"/>
          <w:highlight w:val="none"/>
          <w:lang w:val="en-US" w:eastAsia="zh-CN" w:bidi="ar-SA"/>
        </w:rPr>
        <w:t>三</w:t>
      </w:r>
      <w:r>
        <w:rPr>
          <w:rFonts w:hint="default" w:ascii="Times New Roman" w:hAnsi="Times New Roman" w:eastAsia="楷体_GB2312" w:cs="Times New Roman"/>
          <w:b/>
          <w:i w:val="0"/>
          <w:caps w:val="0"/>
          <w:color w:val="auto"/>
          <w:spacing w:val="0"/>
          <w:kern w:val="0"/>
          <w:sz w:val="32"/>
          <w:szCs w:val="32"/>
          <w:highlight w:val="none"/>
          <w:lang w:val="en-US" w:eastAsia="zh-CN" w:bidi="ar-SA"/>
        </w:rPr>
        <w:t>）以人为本，大力开展政策解读工作</w:t>
      </w:r>
    </w:p>
    <w:p>
      <w:pPr>
        <w:wordWrap/>
        <w:spacing w:line="560" w:lineRule="exact"/>
        <w:ind w:left="0" w:leftChars="0" w:right="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运用数字化、图表图解、音频视频等方式，提高政策解读的针对性、科学性、权威性。</w:t>
      </w:r>
      <w:r>
        <w:rPr>
          <w:rFonts w:hint="eastAsia" w:ascii="仿宋_GB2312" w:hAnsi="仿宋_GB2312" w:eastAsia="仿宋_GB2312" w:cs="仿宋_GB2312"/>
          <w:color w:val="auto"/>
          <w:sz w:val="32"/>
          <w:szCs w:val="32"/>
          <w:highlight w:val="none"/>
          <w:lang w:val="en-US" w:eastAsia="zh-CN"/>
        </w:rPr>
        <w:t>转载就业、养老等领域政策解读文章5篇，</w:t>
      </w:r>
      <w:r>
        <w:rPr>
          <w:rFonts w:hint="default" w:ascii="仿宋_GB2312" w:hAnsi="仿宋_GB2312" w:eastAsia="仿宋_GB2312" w:cs="仿宋_GB2312"/>
          <w:color w:val="auto"/>
          <w:sz w:val="32"/>
          <w:szCs w:val="32"/>
          <w:highlight w:val="none"/>
          <w:lang w:val="en-US" w:eastAsia="zh-CN"/>
        </w:rPr>
        <w:t>深入浅出地讲解政策背景、目标和要点。</w:t>
      </w:r>
      <w:r>
        <w:rPr>
          <w:rFonts w:hint="eastAsia" w:ascii="仿宋_GB2312" w:hAnsi="仿宋_GB2312" w:eastAsia="仿宋_GB2312" w:cs="仿宋_GB2312"/>
          <w:color w:val="auto"/>
          <w:sz w:val="32"/>
          <w:szCs w:val="32"/>
          <w:highlight w:val="none"/>
          <w:lang w:eastAsia="zh-CN"/>
        </w:rPr>
        <w:t>依托机关“走进群众月相逢”、“当当行动”等党建品牌，深入开展“政府开放日”系列活动，</w:t>
      </w:r>
      <w:r>
        <w:rPr>
          <w:rFonts w:hint="eastAsia" w:ascii="仿宋_GB2312" w:hAnsi="仿宋_GB2312" w:eastAsia="仿宋_GB2312" w:cs="仿宋_GB2312"/>
          <w:color w:val="auto"/>
          <w:sz w:val="32"/>
          <w:szCs w:val="32"/>
          <w:highlight w:val="none"/>
        </w:rPr>
        <w:t>围绕</w:t>
      </w:r>
      <w:r>
        <w:rPr>
          <w:rFonts w:hint="eastAsia" w:ascii="仿宋_GB2312" w:hAnsi="仿宋_GB2312" w:eastAsia="仿宋_GB2312" w:cs="仿宋_GB2312"/>
          <w:color w:val="auto"/>
          <w:sz w:val="32"/>
          <w:szCs w:val="32"/>
          <w:highlight w:val="none"/>
          <w:lang w:eastAsia="zh-CN"/>
        </w:rPr>
        <w:t>街道</w:t>
      </w:r>
      <w:r>
        <w:rPr>
          <w:rFonts w:hint="eastAsia" w:ascii="仿宋_GB2312" w:hAnsi="仿宋_GB2312" w:eastAsia="仿宋_GB2312" w:cs="仿宋_GB2312"/>
          <w:color w:val="auto"/>
          <w:sz w:val="32"/>
          <w:szCs w:val="32"/>
          <w:highlight w:val="none"/>
        </w:rPr>
        <w:t>中心工作和重要决策部署，全方位介绍和展现机关的主要职能、制度规范、特色亮点、服务举措和创新成果等</w:t>
      </w:r>
      <w:r>
        <w:rPr>
          <w:rFonts w:hint="eastAsia" w:ascii="仿宋_GB2312" w:hAnsi="仿宋_GB2312" w:eastAsia="仿宋_GB2312" w:cs="仿宋_GB2312"/>
          <w:color w:val="auto"/>
          <w:sz w:val="32"/>
          <w:szCs w:val="32"/>
          <w:highlight w:val="none"/>
          <w:lang w:eastAsia="zh-CN"/>
        </w:rPr>
        <w:t>，全年</w:t>
      </w:r>
      <w:r>
        <w:rPr>
          <w:rFonts w:hint="eastAsia" w:ascii="仿宋_GB2312" w:hAnsi="仿宋_GB2312" w:eastAsia="仿宋_GB2312" w:cs="仿宋_GB2312"/>
          <w:color w:val="auto"/>
          <w:sz w:val="32"/>
          <w:szCs w:val="32"/>
          <w:highlight w:val="none"/>
        </w:rPr>
        <w:t>机关党员干部累计走访居民1625人次</w:t>
      </w:r>
      <w:r>
        <w:rPr>
          <w:rFonts w:hint="eastAsia" w:ascii="仿宋_GB2312" w:hAnsi="仿宋_GB2312" w:eastAsia="仿宋_GB2312" w:cs="仿宋_GB2312"/>
          <w:color w:val="auto"/>
          <w:sz w:val="32"/>
          <w:szCs w:val="32"/>
          <w:highlight w:val="none"/>
          <w:lang w:eastAsia="zh-CN"/>
        </w:rPr>
        <w:t>。</w:t>
      </w:r>
    </w:p>
    <w:p>
      <w:pPr>
        <w:widowControl/>
        <w:wordWrap/>
        <w:spacing w:beforeAutospacing="0" w:afterAutospacing="0" w:line="560" w:lineRule="exact"/>
        <w:ind w:left="0" w:leftChars="0" w:right="0" w:firstLine="640"/>
        <w:jc w:val="both"/>
        <w:textAlignment w:val="auto"/>
        <w:outlineLvl w:val="9"/>
        <w:rPr>
          <w:rFonts w:ascii="宋体" w:hAnsi="宋体" w:eastAsia="宋体" w:cs="宋体"/>
          <w:b w:val="0"/>
          <w:i w:val="0"/>
          <w:caps w:val="0"/>
          <w:color w:val="auto"/>
          <w:spacing w:val="0"/>
          <w:sz w:val="21"/>
          <w:szCs w:val="21"/>
          <w:highlight w:val="none"/>
        </w:rPr>
      </w:pPr>
      <w:r>
        <w:rPr>
          <w:rFonts w:ascii="楷体_GB2312" w:hAnsi="Times New Roman" w:eastAsia="楷体_GB2312" w:cs="楷体_GB2312"/>
          <w:b/>
          <w:i w:val="0"/>
          <w:caps w:val="0"/>
          <w:color w:val="auto"/>
          <w:spacing w:val="0"/>
          <w:kern w:val="0"/>
          <w:sz w:val="32"/>
          <w:szCs w:val="32"/>
          <w:highlight w:val="none"/>
          <w:lang w:val="en-US" w:eastAsia="zh-CN" w:bidi="ar-SA"/>
        </w:rPr>
        <w:t>（</w:t>
      </w:r>
      <w:r>
        <w:rPr>
          <w:rFonts w:hint="eastAsia" w:ascii="楷体_GB2312" w:eastAsia="楷体_GB2312" w:cs="楷体_GB2312"/>
          <w:b/>
          <w:i w:val="0"/>
          <w:caps w:val="0"/>
          <w:color w:val="auto"/>
          <w:spacing w:val="0"/>
          <w:kern w:val="0"/>
          <w:sz w:val="32"/>
          <w:szCs w:val="32"/>
          <w:highlight w:val="none"/>
          <w:lang w:val="en-US" w:eastAsia="zh-CN" w:bidi="ar-SA"/>
        </w:rPr>
        <w:t>四</w:t>
      </w:r>
      <w:r>
        <w:rPr>
          <w:rFonts w:ascii="楷体_GB2312" w:hAnsi="Times New Roman" w:eastAsia="楷体_GB2312" w:cs="楷体_GB2312"/>
          <w:b/>
          <w:i w:val="0"/>
          <w:caps w:val="0"/>
          <w:color w:val="auto"/>
          <w:spacing w:val="0"/>
          <w:kern w:val="0"/>
          <w:sz w:val="32"/>
          <w:szCs w:val="32"/>
          <w:highlight w:val="none"/>
          <w:lang w:val="en-US" w:eastAsia="zh-CN" w:bidi="ar-SA"/>
        </w:rPr>
        <w:t>）主动及时，快速回应社会关切</w:t>
      </w:r>
    </w:p>
    <w:p>
      <w:pPr>
        <w:wordWrap/>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建立健全政务舆情收集、研判、处置和回应机制，对涉及气象领域的重要政务舆情、媒体关切、突发事件等热点问题，按程序及时发布权威信息，讲清事实真相、政策措施以及处置结果等，认真回应关切。</w:t>
      </w:r>
      <w:r>
        <w:rPr>
          <w:rFonts w:hint="eastAsia" w:ascii="仿宋_GB2312" w:hAnsi="仿宋_GB2312" w:eastAsia="仿宋_GB2312" w:cs="仿宋_GB2312"/>
          <w:color w:val="auto"/>
          <w:sz w:val="32"/>
          <w:szCs w:val="32"/>
          <w:highlight w:val="none"/>
          <w:lang w:val="en-US" w:eastAsia="zh-CN"/>
        </w:rPr>
        <w:t>龙潭街道官方微博连续两年入选</w:t>
      </w:r>
      <w:r>
        <w:rPr>
          <w:rFonts w:hint="default" w:ascii="仿宋_GB2312" w:hAnsi="仿宋_GB2312" w:eastAsia="仿宋_GB2312" w:cs="仿宋_GB2312"/>
          <w:color w:val="auto"/>
          <w:sz w:val="32"/>
          <w:szCs w:val="32"/>
          <w:highlight w:val="none"/>
          <w:lang w:val="en-US" w:eastAsia="zh-CN"/>
        </w:rPr>
        <w:t>人民日报</w:t>
      </w:r>
      <w:r>
        <w:rPr>
          <w:rFonts w:hint="eastAsia" w:ascii="仿宋_GB2312" w:hAnsi="仿宋_GB2312" w:eastAsia="仿宋_GB2312" w:cs="仿宋_GB2312"/>
          <w:color w:val="auto"/>
          <w:sz w:val="32"/>
          <w:szCs w:val="32"/>
          <w:highlight w:val="none"/>
          <w:lang w:val="en-US" w:eastAsia="zh-CN"/>
        </w:rPr>
        <w:t>、微博联合发布的十大基层社区微博，并分列一、二位。</w:t>
      </w:r>
    </w:p>
    <w:p>
      <w:pPr>
        <w:widowControl/>
        <w:wordWrap/>
        <w:spacing w:beforeAutospacing="0" w:afterAutospacing="0" w:line="560" w:lineRule="exact"/>
        <w:ind w:left="0" w:leftChars="0" w:right="0" w:firstLine="640"/>
        <w:jc w:val="both"/>
        <w:textAlignment w:val="auto"/>
        <w:outlineLvl w:val="9"/>
        <w:rPr>
          <w:rFonts w:hint="eastAsia" w:ascii="楷体_GB2312" w:eastAsia="楷体_GB2312" w:cs="楷体_GB2312"/>
          <w:b/>
          <w:i w:val="0"/>
          <w:caps w:val="0"/>
          <w:color w:val="auto"/>
          <w:spacing w:val="0"/>
          <w:kern w:val="0"/>
          <w:sz w:val="32"/>
          <w:szCs w:val="32"/>
          <w:highlight w:val="none"/>
          <w:lang w:val="en-US" w:eastAsia="zh-CN" w:bidi="ar-SA"/>
        </w:rPr>
      </w:pPr>
      <w:r>
        <w:rPr>
          <w:rFonts w:hint="eastAsia" w:ascii="楷体_GB2312" w:eastAsia="楷体_GB2312" w:cs="楷体_GB2312"/>
          <w:b/>
          <w:i w:val="0"/>
          <w:caps w:val="0"/>
          <w:color w:val="auto"/>
          <w:spacing w:val="0"/>
          <w:kern w:val="0"/>
          <w:sz w:val="32"/>
          <w:szCs w:val="32"/>
          <w:highlight w:val="none"/>
          <w:lang w:val="en-US" w:eastAsia="zh-CN" w:bidi="ar-SA"/>
        </w:rPr>
        <w:t>（五）创新形式，推进公开渠道平台建设</w:t>
      </w:r>
    </w:p>
    <w:p>
      <w:pPr>
        <w:wordWrap/>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创新</w:t>
      </w:r>
      <w:r>
        <w:rPr>
          <w:rFonts w:hint="eastAsia" w:ascii="仿宋_GB2312" w:hAnsi="仿宋_GB2312" w:eastAsia="仿宋_GB2312" w:cs="仿宋_GB2312"/>
          <w:color w:val="auto"/>
          <w:sz w:val="32"/>
          <w:szCs w:val="32"/>
          <w:highlight w:val="none"/>
          <w:lang w:val="en-US" w:eastAsia="zh-CN"/>
        </w:rPr>
        <w:t>政府信息和政务公开形式，建立信息和政务公开“四个平台”，推进信息公开多渠道深入发展。</w:t>
      </w:r>
      <w:r>
        <w:rPr>
          <w:rFonts w:hint="eastAsia" w:ascii="仿宋_GB2312" w:hAnsi="仿宋_GB2312" w:eastAsia="仿宋_GB2312" w:cs="仿宋_GB2312"/>
          <w:b/>
          <w:bCs/>
          <w:color w:val="auto"/>
          <w:sz w:val="32"/>
          <w:szCs w:val="32"/>
          <w:highlight w:val="none"/>
          <w:lang w:val="en-US" w:eastAsia="zh-CN"/>
        </w:rPr>
        <w:t>1.建立网站信息公开平台，</w:t>
      </w:r>
      <w:r>
        <w:rPr>
          <w:rFonts w:hint="eastAsia" w:ascii="仿宋_GB2312" w:hAnsi="仿宋_GB2312" w:eastAsia="仿宋_GB2312" w:cs="仿宋_GB2312"/>
          <w:color w:val="auto"/>
          <w:sz w:val="32"/>
          <w:szCs w:val="32"/>
          <w:highlight w:val="none"/>
          <w:lang w:val="en-US" w:eastAsia="zh-CN"/>
        </w:rPr>
        <w:t>发挥政府网站第一平台作用，完善网上公示和对外办公职能，及时、准确、完整地公开机构职能、办事流程等内容。</w:t>
      </w:r>
      <w:r>
        <w:rPr>
          <w:rFonts w:hint="eastAsia" w:ascii="仿宋_GB2312" w:hAnsi="仿宋_GB2312" w:eastAsia="仿宋_GB2312" w:cs="仿宋_GB2312"/>
          <w:b/>
          <w:bCs/>
          <w:color w:val="auto"/>
          <w:sz w:val="32"/>
          <w:szCs w:val="32"/>
          <w:highlight w:val="none"/>
          <w:lang w:val="en-US" w:eastAsia="zh-CN"/>
        </w:rPr>
        <w:t>2.建立纸媒信息公开平台，</w:t>
      </w:r>
      <w:r>
        <w:rPr>
          <w:rFonts w:hint="eastAsia" w:ascii="仿宋_GB2312" w:hAnsi="仿宋_GB2312" w:eastAsia="仿宋_GB2312" w:cs="仿宋_GB2312"/>
          <w:color w:val="auto"/>
          <w:sz w:val="32"/>
          <w:szCs w:val="32"/>
          <w:highlight w:val="none"/>
          <w:lang w:val="en-US" w:eastAsia="zh-CN"/>
        </w:rPr>
        <w:t>通过《今日龙潭》报对居民关注热点问题进行精加工，权威和深度报道地区热点新闻。《今日龙潭》每半月免费发行12000份，并聘请专业公司进行投递，确保地区6万余居民全覆盖。</w:t>
      </w:r>
      <w:r>
        <w:rPr>
          <w:rFonts w:hint="eastAsia" w:ascii="仿宋_GB2312" w:hAnsi="仿宋_GB2312" w:eastAsia="仿宋_GB2312" w:cs="仿宋_GB2312"/>
          <w:b/>
          <w:bCs/>
          <w:color w:val="auto"/>
          <w:sz w:val="32"/>
          <w:szCs w:val="32"/>
          <w:highlight w:val="none"/>
          <w:lang w:val="en-US" w:eastAsia="zh-CN"/>
        </w:rPr>
        <w:t>3.建立掌上信息公开“微”平台，</w:t>
      </w:r>
      <w:r>
        <w:rPr>
          <w:rFonts w:hint="eastAsia" w:ascii="仿宋_GB2312" w:hAnsi="仿宋_GB2312" w:eastAsia="仿宋_GB2312" w:cs="仿宋_GB2312"/>
          <w:color w:val="auto"/>
          <w:sz w:val="32"/>
          <w:szCs w:val="32"/>
          <w:highlight w:val="none"/>
          <w:lang w:val="en-US" w:eastAsia="zh-CN"/>
        </w:rPr>
        <w:t>采用贴近居民生活的语言形式，将政务动态、社区活动等与居民生活息息相关的信息发布到微博、微信上，全年共发布专题文章288篇，受到居民广泛好评。</w:t>
      </w:r>
      <w:r>
        <w:rPr>
          <w:rFonts w:hint="eastAsia" w:ascii="仿宋_GB2312" w:hAnsi="仿宋_GB2312" w:eastAsia="仿宋_GB2312" w:cs="仿宋_GB2312"/>
          <w:b/>
          <w:bCs/>
          <w:color w:val="auto"/>
          <w:sz w:val="32"/>
          <w:szCs w:val="32"/>
          <w:highlight w:val="none"/>
          <w:lang w:val="en-US" w:eastAsia="zh-CN"/>
        </w:rPr>
        <w:t>4.建立面对面服务信息公开平台，</w:t>
      </w:r>
      <w:r>
        <w:rPr>
          <w:rFonts w:hint="eastAsia" w:ascii="仿宋_GB2312" w:hAnsi="仿宋_GB2312" w:eastAsia="仿宋_GB2312" w:cs="仿宋_GB2312"/>
          <w:color w:val="auto"/>
          <w:sz w:val="32"/>
          <w:szCs w:val="32"/>
          <w:highlight w:val="none"/>
          <w:lang w:val="en-US" w:eastAsia="zh-CN"/>
        </w:rPr>
        <w:t>在全部窗口单位开展“党员亮身份、办事亮流程、工作亮承诺”、“提升服务品质、提高群众满意度”的“三亮两提”活动，通过专人受理答复、一站式服务，将信息公开融入日常工作当中。深入开展“当当行动”、“走进群众月相逢”活动，现场解答居民提出的政务问题。</w:t>
      </w:r>
      <w:r>
        <w:rPr>
          <w:rFonts w:hint="eastAsia" w:ascii="仿宋_GB2312" w:hAnsi="仿宋_GB2312" w:eastAsia="仿宋_GB2312" w:cs="仿宋_GB2312"/>
          <w:color w:val="auto"/>
          <w:sz w:val="32"/>
          <w:szCs w:val="32"/>
          <w:highlight w:val="none"/>
          <w:lang w:eastAsia="zh-CN"/>
        </w:rPr>
        <w:t xml:space="preserve"> </w:t>
      </w:r>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、信息公开数据</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s="楷体_GB2312"/>
          <w:color w:val="auto"/>
          <w:sz w:val="32"/>
          <w:szCs w:val="32"/>
          <w:highlight w:val="none"/>
        </w:rPr>
        <w:t>（一）主动公开情况</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主动公开政府信息</w:t>
      </w:r>
      <w:r>
        <w:rPr>
          <w:rFonts w:hint="eastAsia" w:ascii="仿宋_GB2312" w:eastAsia="仿宋_GB2312"/>
          <w:color w:val="auto"/>
          <w:sz w:val="32"/>
          <w:szCs w:val="32"/>
          <w:highlight w:val="none"/>
          <w:lang w:val="en-US" w:eastAsia="zh-CN"/>
        </w:rPr>
        <w:t>813</w:t>
      </w:r>
      <w:r>
        <w:rPr>
          <w:rFonts w:hint="eastAsia" w:ascii="仿宋_GB2312" w:eastAsia="仿宋_GB2312"/>
          <w:color w:val="auto"/>
          <w:sz w:val="32"/>
          <w:szCs w:val="32"/>
          <w:highlight w:val="none"/>
          <w:lang w:eastAsia="zh-CN"/>
        </w:rPr>
        <w:t>件。</w:t>
      </w:r>
      <w:r>
        <w:rPr>
          <w:rFonts w:hint="eastAsia" w:ascii="仿宋_GB2312" w:eastAsia="仿宋_GB2312"/>
          <w:color w:val="auto"/>
          <w:sz w:val="32"/>
          <w:szCs w:val="32"/>
          <w:highlight w:val="none"/>
        </w:rPr>
        <w:t>主动公开规范性文件</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件。重点领域公开政府信息</w:t>
      </w:r>
      <w:r>
        <w:rPr>
          <w:rFonts w:hint="eastAsia" w:ascii="仿宋_GB2312" w:eastAsia="仿宋_GB2312"/>
          <w:color w:val="auto"/>
          <w:sz w:val="32"/>
          <w:szCs w:val="32"/>
          <w:highlight w:val="none"/>
          <w:lang w:val="en-US" w:eastAsia="zh-CN"/>
        </w:rPr>
        <w:t>112件</w:t>
      </w:r>
      <w:r>
        <w:rPr>
          <w:rFonts w:hint="eastAsia" w:ascii="仿宋_GB2312" w:eastAsia="仿宋_GB2312"/>
          <w:color w:val="auto"/>
          <w:sz w:val="32"/>
          <w:szCs w:val="32"/>
          <w:highlight w:val="none"/>
        </w:rPr>
        <w:t>。其中，主动公开财政预算决算、</w:t>
      </w:r>
      <w:r>
        <w:rPr>
          <w:rFonts w:hint="eastAsia" w:ascii="仿宋_GB2312" w:eastAsia="仿宋_GB2312"/>
          <w:color w:val="auto"/>
          <w:sz w:val="32"/>
          <w:szCs w:val="32"/>
          <w:highlight w:val="none"/>
          <w:lang w:eastAsia="zh-CN"/>
        </w:rPr>
        <w:t>“三公”经费</w:t>
      </w:r>
      <w:r>
        <w:rPr>
          <w:rFonts w:hint="eastAsia" w:ascii="仿宋_GB2312" w:eastAsia="仿宋_GB2312"/>
          <w:color w:val="auto"/>
          <w:sz w:val="32"/>
          <w:szCs w:val="32"/>
          <w:highlight w:val="none"/>
        </w:rPr>
        <w:t>和行政经费信息</w:t>
      </w:r>
      <w:r>
        <w:rPr>
          <w:rFonts w:hint="eastAsia" w:ascii="仿宋_GB2312" w:eastAsia="仿宋_GB2312"/>
          <w:color w:val="auto"/>
          <w:sz w:val="32"/>
          <w:szCs w:val="32"/>
          <w:highlight w:val="none"/>
          <w:lang w:val="en-US" w:eastAsia="zh-CN"/>
        </w:rPr>
        <w:t>2件，</w:t>
      </w:r>
      <w:r>
        <w:rPr>
          <w:rFonts w:hint="eastAsia" w:ascii="仿宋_GB2312" w:eastAsia="仿宋_GB2312"/>
          <w:color w:val="auto"/>
          <w:sz w:val="32"/>
          <w:szCs w:val="32"/>
          <w:highlight w:val="none"/>
        </w:rPr>
        <w:t>主动公开市人民政府决定主动公开的其他信息数</w:t>
      </w:r>
      <w:r>
        <w:rPr>
          <w:rFonts w:hint="eastAsia" w:ascii="仿宋_GB2312" w:eastAsia="仿宋_GB2312"/>
          <w:color w:val="auto"/>
          <w:sz w:val="32"/>
          <w:szCs w:val="32"/>
          <w:highlight w:val="none"/>
          <w:lang w:val="en-US" w:eastAsia="zh-CN"/>
        </w:rPr>
        <w:t>110件。</w:t>
      </w:r>
    </w:p>
    <w:p>
      <w:pPr>
        <w:spacing w:line="560" w:lineRule="exact"/>
        <w:ind w:firstLine="6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通过不同渠道和方式公开政府信息的情况，政府网站公开政府信息</w:t>
      </w:r>
      <w:r>
        <w:rPr>
          <w:rFonts w:hint="eastAsia" w:ascii="仿宋_GB2312" w:eastAsia="仿宋_GB2312"/>
          <w:color w:val="auto"/>
          <w:sz w:val="32"/>
          <w:szCs w:val="32"/>
          <w:highlight w:val="none"/>
          <w:lang w:val="en-US" w:eastAsia="zh-CN"/>
        </w:rPr>
        <w:t>323件</w:t>
      </w:r>
      <w:r>
        <w:rPr>
          <w:rFonts w:hint="eastAsia" w:ascii="仿宋_GB2312" w:eastAsia="仿宋_GB2312"/>
          <w:color w:val="auto"/>
          <w:sz w:val="32"/>
          <w:szCs w:val="32"/>
          <w:highlight w:val="none"/>
        </w:rPr>
        <w:t>；政务微博公开政府信息</w:t>
      </w:r>
      <w:r>
        <w:rPr>
          <w:rFonts w:hint="eastAsia" w:ascii="仿宋_GB2312" w:eastAsia="仿宋_GB2312"/>
          <w:color w:val="auto"/>
          <w:sz w:val="32"/>
          <w:szCs w:val="32"/>
          <w:highlight w:val="none"/>
          <w:lang w:val="en-US" w:eastAsia="zh-CN"/>
        </w:rPr>
        <w:t>683件</w:t>
      </w:r>
      <w:r>
        <w:rPr>
          <w:rFonts w:hint="eastAsia" w:ascii="仿宋_GB2312" w:eastAsia="仿宋_GB2312"/>
          <w:color w:val="auto"/>
          <w:sz w:val="32"/>
          <w:szCs w:val="32"/>
          <w:highlight w:val="none"/>
        </w:rPr>
        <w:t>；政务微信公开政府信息</w:t>
      </w:r>
      <w:r>
        <w:rPr>
          <w:rFonts w:hint="eastAsia" w:ascii="仿宋_GB2312" w:eastAsia="仿宋_GB2312"/>
          <w:color w:val="auto"/>
          <w:sz w:val="32"/>
          <w:szCs w:val="32"/>
          <w:highlight w:val="none"/>
          <w:lang w:val="en-US" w:eastAsia="zh-CN"/>
        </w:rPr>
        <w:t>288件</w:t>
      </w:r>
      <w:r>
        <w:rPr>
          <w:rFonts w:hint="eastAsia" w:ascii="仿宋_GB2312" w:eastAsia="仿宋_GB2312"/>
          <w:color w:val="auto"/>
          <w:sz w:val="32"/>
          <w:szCs w:val="32"/>
          <w:highlight w:val="none"/>
        </w:rPr>
        <w:t>；其他方式公开政府信息</w:t>
      </w:r>
      <w:r>
        <w:rPr>
          <w:rFonts w:hint="eastAsia" w:ascii="仿宋_GB2312" w:eastAsia="仿宋_GB2312"/>
          <w:color w:val="auto"/>
          <w:sz w:val="32"/>
          <w:szCs w:val="32"/>
          <w:highlight w:val="none"/>
          <w:lang w:val="en-US" w:eastAsia="zh-CN"/>
        </w:rPr>
        <w:t>132件</w:t>
      </w:r>
      <w:r>
        <w:rPr>
          <w:rFonts w:hint="eastAsia" w:ascii="仿宋_GB2312" w:eastAsia="仿宋_GB2312"/>
          <w:color w:val="auto"/>
          <w:sz w:val="32"/>
          <w:szCs w:val="32"/>
          <w:highlight w:val="none"/>
        </w:rPr>
        <w:t>。</w:t>
      </w:r>
    </w:p>
    <w:p>
      <w:pPr>
        <w:spacing w:line="560" w:lineRule="exact"/>
        <w:ind w:firstLine="640" w:firstLineChars="200"/>
        <w:rPr>
          <w:rFonts w:ascii="楷体_GB2312" w:hAnsi="仿宋_GB2312" w:eastAsia="楷体_GB2312" w:cs="楷体_GB2312"/>
          <w:color w:val="auto"/>
          <w:sz w:val="32"/>
          <w:szCs w:val="32"/>
          <w:highlight w:val="none"/>
        </w:rPr>
      </w:pPr>
      <w:r>
        <w:rPr>
          <w:rFonts w:hint="eastAsia" w:ascii="楷体_GB2312" w:hAnsi="仿宋_GB2312" w:eastAsia="楷体_GB2312" w:cs="楷体_GB2312"/>
          <w:color w:val="auto"/>
          <w:sz w:val="32"/>
          <w:szCs w:val="32"/>
          <w:highlight w:val="none"/>
        </w:rPr>
        <w:t>（二）回应解读情况</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回应公众关注热点或重大舆情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w:t>
      </w:r>
      <w:r>
        <w:rPr>
          <w:rFonts w:hint="eastAsia" w:ascii="仿宋_GB2312" w:eastAsia="仿宋_GB2312"/>
          <w:color w:val="auto"/>
          <w:sz w:val="32"/>
          <w:szCs w:val="32"/>
          <w:highlight w:val="none"/>
          <w:lang w:eastAsia="zh-CN"/>
        </w:rPr>
        <w:t>。</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s="楷体_GB2312"/>
          <w:color w:val="auto"/>
          <w:sz w:val="32"/>
          <w:szCs w:val="32"/>
          <w:highlight w:val="none"/>
        </w:rPr>
        <w:t>（三）依申请公开情况</w:t>
      </w:r>
    </w:p>
    <w:p>
      <w:pPr>
        <w:widowControl/>
        <w:spacing w:line="560" w:lineRule="exact"/>
        <w:ind w:firstLine="640" w:firstLineChars="200"/>
        <w:rPr>
          <w:rFonts w:ascii="仿宋_GB2312" w:hAnsi="宋体" w:eastAsia="仿宋_GB2312"/>
          <w:color w:val="auto"/>
          <w:kern w:val="0"/>
          <w:sz w:val="32"/>
          <w:szCs w:val="32"/>
          <w:highlight w:val="none"/>
        </w:rPr>
      </w:pPr>
      <w:r>
        <w:rPr>
          <w:rFonts w:ascii="仿宋_GB2312" w:hAnsi="宋体" w:eastAsia="仿宋_GB2312" w:cs="仿宋_GB2312"/>
          <w:color w:val="auto"/>
          <w:kern w:val="0"/>
          <w:sz w:val="32"/>
          <w:szCs w:val="32"/>
          <w:highlight w:val="none"/>
        </w:rPr>
        <w:t>1.</w:t>
      </w:r>
      <w:r>
        <w:rPr>
          <w:rFonts w:hint="eastAsia" w:ascii="仿宋_GB2312" w:hAnsi="宋体" w:eastAsia="仿宋_GB2312" w:cs="仿宋_GB2312"/>
          <w:color w:val="auto"/>
          <w:kern w:val="0"/>
          <w:sz w:val="32"/>
          <w:szCs w:val="32"/>
          <w:highlight w:val="none"/>
        </w:rPr>
        <w:t>申请情况</w:t>
      </w:r>
    </w:p>
    <w:p>
      <w:pPr>
        <w:widowControl/>
        <w:spacing w:line="560" w:lineRule="exact"/>
        <w:ind w:firstLine="640" w:firstLineChars="200"/>
        <w:rPr>
          <w:rFonts w:ascii="仿宋_GB2312" w:hAnsi="宋体" w:eastAsia="仿宋_GB2312"/>
          <w:color w:val="auto"/>
          <w:kern w:val="0"/>
          <w:sz w:val="32"/>
          <w:szCs w:val="32"/>
          <w:highlight w:val="none"/>
        </w:rPr>
      </w:pPr>
      <w:r>
        <w:rPr>
          <w:rFonts w:hint="eastAsia" w:ascii="仿宋_GB2312" w:eastAsia="仿宋_GB2312"/>
          <w:color w:val="auto"/>
          <w:sz w:val="32"/>
          <w:szCs w:val="32"/>
          <w:highlight w:val="none"/>
        </w:rPr>
        <w:t>共收到申请</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件</w:t>
      </w:r>
      <w:r>
        <w:rPr>
          <w:rFonts w:hint="eastAsia" w:ascii="仿宋_GB2312" w:hAnsi="宋体" w:eastAsia="仿宋_GB2312" w:cs="仿宋_GB2312"/>
          <w:color w:val="auto"/>
          <w:kern w:val="0"/>
          <w:sz w:val="32"/>
          <w:szCs w:val="32"/>
          <w:highlight w:val="none"/>
        </w:rPr>
        <w:t>。申请方式中，当面申请</w:t>
      </w:r>
      <w:r>
        <w:rPr>
          <w:rFonts w:hint="eastAsia" w:ascii="仿宋_GB2312" w:eastAsia="仿宋_GB2312"/>
          <w:color w:val="auto"/>
          <w:sz w:val="32"/>
          <w:szCs w:val="32"/>
          <w:highlight w:val="none"/>
          <w:lang w:val="en-US" w:eastAsia="zh-CN"/>
        </w:rPr>
        <w:t>6</w:t>
      </w:r>
      <w:r>
        <w:rPr>
          <w:rFonts w:hint="eastAsia" w:ascii="仿宋_GB2312" w:hAnsi="宋体" w:eastAsia="仿宋_GB2312" w:cs="仿宋_GB2312"/>
          <w:color w:val="auto"/>
          <w:kern w:val="0"/>
          <w:sz w:val="32"/>
          <w:szCs w:val="32"/>
          <w:highlight w:val="none"/>
        </w:rPr>
        <w:t>件，网络申请2 件</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信函申请3件。申请内容主要涉及</w:t>
      </w:r>
      <w:r>
        <w:rPr>
          <w:rFonts w:hint="eastAsia" w:ascii="仿宋_GB2312" w:hAnsi="宋体" w:eastAsia="仿宋_GB2312" w:cs="仿宋_GB2312"/>
          <w:color w:val="auto"/>
          <w:kern w:val="0"/>
          <w:sz w:val="32"/>
          <w:szCs w:val="32"/>
          <w:highlight w:val="none"/>
          <w:lang w:eastAsia="zh-CN"/>
        </w:rPr>
        <w:t>城乡规划、民生保障等工作</w:t>
      </w:r>
      <w:r>
        <w:rPr>
          <w:rFonts w:hint="eastAsia" w:ascii="仿宋_GB2312" w:hAnsi="宋体" w:eastAsia="仿宋_GB2312" w:cs="仿宋_GB2312"/>
          <w:color w:val="auto"/>
          <w:kern w:val="0"/>
          <w:sz w:val="32"/>
          <w:szCs w:val="32"/>
          <w:highlight w:val="none"/>
        </w:rPr>
        <w:t>。</w:t>
      </w:r>
    </w:p>
    <w:p>
      <w:pPr>
        <w:widowControl/>
        <w:spacing w:line="560" w:lineRule="exact"/>
        <w:ind w:firstLine="640" w:firstLineChars="200"/>
        <w:rPr>
          <w:rFonts w:ascii="仿宋_GB2312" w:hAnsi="宋体" w:eastAsia="仿宋_GB2312"/>
          <w:color w:val="auto"/>
          <w:kern w:val="0"/>
          <w:sz w:val="32"/>
          <w:szCs w:val="32"/>
          <w:highlight w:val="none"/>
        </w:rPr>
      </w:pPr>
      <w:r>
        <w:rPr>
          <w:rFonts w:ascii="仿宋_GB2312" w:hAnsi="宋体" w:eastAsia="仿宋_GB2312" w:cs="仿宋_GB2312"/>
          <w:color w:val="auto"/>
          <w:kern w:val="0"/>
          <w:sz w:val="32"/>
          <w:szCs w:val="32"/>
          <w:highlight w:val="none"/>
        </w:rPr>
        <w:t>2.</w:t>
      </w:r>
      <w:r>
        <w:rPr>
          <w:rFonts w:hint="eastAsia" w:ascii="仿宋_GB2312" w:hAnsi="宋体" w:eastAsia="仿宋_GB2312" w:cs="仿宋_GB2312"/>
          <w:color w:val="auto"/>
          <w:kern w:val="0"/>
          <w:sz w:val="32"/>
          <w:szCs w:val="32"/>
          <w:highlight w:val="none"/>
        </w:rPr>
        <w:t>答复情况</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全年共办结申请13</w:t>
      </w:r>
      <w:r>
        <w:rPr>
          <w:rFonts w:hint="eastAsia" w:ascii="仿宋_GB2312" w:eastAsia="仿宋_GB2312"/>
          <w:color w:val="auto"/>
          <w:sz w:val="32"/>
          <w:szCs w:val="32"/>
          <w:highlight w:val="none"/>
        </w:rPr>
        <w:t>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均按时办结</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其中</w:t>
      </w:r>
      <w:r>
        <w:rPr>
          <w:rFonts w:hint="eastAsia" w:ascii="仿宋_GB2312" w:eastAsia="仿宋_GB2312"/>
          <w:color w:val="auto"/>
          <w:sz w:val="32"/>
          <w:szCs w:val="32"/>
          <w:highlight w:val="none"/>
        </w:rPr>
        <w:t>属于已主动公开范围1件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同意公开答复2件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不属于本行政机关公开2件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申请信息不存在4件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告知通过其他途径办理4件</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3.依申请公开政府信息收费情况</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按照市财政局、市发展改革委《关于清理规范一批行政事业性收费有关政策的通知》（京财综</w:t>
      </w:r>
      <w:r>
        <w:rPr>
          <w:rFonts w:hint="eastAsia" w:ascii="仿宋" w:hAnsi="仿宋" w:eastAsia="仿宋"/>
          <w:color w:val="auto"/>
          <w:sz w:val="32"/>
          <w:szCs w:val="32"/>
          <w:highlight w:val="none"/>
        </w:rPr>
        <w:t>﹝2017﹞569号</w:t>
      </w:r>
      <w:r>
        <w:rPr>
          <w:rFonts w:hint="eastAsia" w:ascii="仿宋_GB2312" w:eastAsia="仿宋_GB2312"/>
          <w:color w:val="auto"/>
          <w:sz w:val="32"/>
          <w:szCs w:val="32"/>
          <w:highlight w:val="none"/>
        </w:rPr>
        <w:t>）要求，自2017年4月1日起，已停止收取依申请公开政府信息费用。</w:t>
      </w:r>
      <w:r>
        <w:rPr>
          <w:rFonts w:hint="eastAsia" w:ascii="仿宋_GB2312" w:eastAsia="仿宋_GB2312"/>
          <w:color w:val="auto"/>
          <w:sz w:val="32"/>
          <w:szCs w:val="32"/>
          <w:highlight w:val="none"/>
          <w:lang w:val="en-US" w:eastAsia="zh-CN"/>
        </w:rPr>
        <w:t>2018年，</w:t>
      </w:r>
      <w:r>
        <w:rPr>
          <w:rFonts w:hint="eastAsia" w:ascii="仿宋_GB2312" w:eastAsia="仿宋_GB2312"/>
          <w:color w:val="auto"/>
          <w:sz w:val="32"/>
          <w:szCs w:val="32"/>
          <w:highlight w:val="none"/>
        </w:rPr>
        <w:t>对依申请提供政府信息收取检索、复制、邮寄等费用共计</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元。</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s="楷体_GB2312"/>
          <w:color w:val="auto"/>
          <w:sz w:val="32"/>
          <w:szCs w:val="32"/>
          <w:highlight w:val="none"/>
        </w:rPr>
        <w:t>（四）行政复议、诉讼及举报情况</w:t>
      </w:r>
    </w:p>
    <w:p>
      <w:pPr>
        <w:widowControl/>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行政复议、诉讼及举报均为0。</w:t>
      </w:r>
    </w:p>
    <w:p>
      <w:pPr>
        <w:widowControl/>
        <w:spacing w:line="560" w:lineRule="exact"/>
        <w:ind w:firstLine="640" w:firstLineChars="200"/>
        <w:rPr>
          <w:rFonts w:ascii="楷体_GB2312" w:hAnsi="宋体" w:eastAsia="楷体_GB2312" w:cs="仿宋_GB2312"/>
          <w:color w:val="auto"/>
          <w:kern w:val="0"/>
          <w:sz w:val="32"/>
          <w:szCs w:val="32"/>
          <w:highlight w:val="none"/>
        </w:rPr>
      </w:pPr>
      <w:r>
        <w:rPr>
          <w:rFonts w:hint="eastAsia" w:ascii="楷体_GB2312" w:hAnsi="宋体" w:eastAsia="楷体_GB2312" w:cs="仿宋_GB2312"/>
          <w:color w:val="auto"/>
          <w:kern w:val="0"/>
          <w:sz w:val="32"/>
          <w:szCs w:val="32"/>
          <w:highlight w:val="none"/>
        </w:rPr>
        <w:t>（五）机构建设及保障培训情况</w:t>
      </w:r>
    </w:p>
    <w:p>
      <w:pPr>
        <w:tabs>
          <w:tab w:val="center" w:pos="4252"/>
        </w:tabs>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政府信息公开工作专门机构0 个，设置政府信息公开查阅点1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个，从事政府信息公开工作人员2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人 ，其中专职人员（不包括政府公报及政府网站工作人员数）</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xml:space="preserve"> 人，兼职人员2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人；举办各类培训班</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次，接受培训人员</w:t>
      </w:r>
      <w:r>
        <w:rPr>
          <w:rFonts w:hint="eastAsia" w:ascii="仿宋_GB2312" w:eastAsia="仿宋_GB2312"/>
          <w:color w:val="auto"/>
          <w:sz w:val="32"/>
          <w:szCs w:val="32"/>
          <w:highlight w:val="none"/>
          <w:lang w:val="en-US" w:eastAsia="zh-CN"/>
        </w:rPr>
        <w:t>95</w:t>
      </w:r>
      <w:r>
        <w:rPr>
          <w:rFonts w:hint="eastAsia" w:ascii="仿宋_GB2312" w:eastAsia="仿宋_GB2312"/>
          <w:color w:val="auto"/>
          <w:sz w:val="32"/>
          <w:szCs w:val="32"/>
          <w:highlight w:val="none"/>
        </w:rPr>
        <w:t>人次 。</w:t>
      </w:r>
    </w:p>
    <w:p>
      <w:pPr>
        <w:tabs>
          <w:tab w:val="center" w:pos="4252"/>
        </w:tabs>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、存在的不足及201</w:t>
      </w:r>
      <w:r>
        <w:rPr>
          <w:rFonts w:hint="eastAsia" w:ascii="黑体" w:hAnsi="黑体" w:eastAsia="黑体"/>
          <w:color w:val="auto"/>
          <w:sz w:val="32"/>
          <w:szCs w:val="32"/>
          <w:highlight w:val="none"/>
          <w:lang w:val="en-US" w:eastAsia="zh-CN"/>
        </w:rPr>
        <w:t>9</w:t>
      </w:r>
      <w:r>
        <w:rPr>
          <w:rFonts w:hint="eastAsia" w:ascii="黑体" w:hAnsi="黑体" w:eastAsia="黑体"/>
          <w:color w:val="auto"/>
          <w:sz w:val="32"/>
          <w:szCs w:val="32"/>
          <w:highlight w:val="none"/>
        </w:rPr>
        <w:t>年重点工作</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olor w:val="auto"/>
          <w:sz w:val="32"/>
          <w:szCs w:val="32"/>
          <w:highlight w:val="none"/>
        </w:rPr>
        <w:t>（一）存在的问题</w:t>
      </w:r>
    </w:p>
    <w:p>
      <w:pPr>
        <w:widowControl/>
        <w:shd w:val="clear" w:color="auto" w:fill="FFFFFF"/>
        <w:spacing w:line="560" w:lineRule="exact"/>
        <w:ind w:firstLine="640"/>
        <w:rPr>
          <w:rFonts w:ascii="仿宋_GB2312" w:hAnsi="宋体" w:eastAsia="仿宋_GB2312"/>
          <w:color w:val="auto"/>
          <w:sz w:val="32"/>
          <w:szCs w:val="32"/>
          <w:highlight w:val="none"/>
        </w:rPr>
      </w:pPr>
      <w:r>
        <w:rPr>
          <w:rFonts w:hint="eastAsia" w:ascii="仿宋_GB2312" w:hAnsi="宋体" w:eastAsia="仿宋_GB2312"/>
          <w:b/>
          <w:bCs/>
          <w:color w:val="auto"/>
          <w:sz w:val="32"/>
          <w:szCs w:val="32"/>
          <w:highlight w:val="none"/>
        </w:rPr>
        <w:t>一是</w:t>
      </w:r>
      <w:r>
        <w:rPr>
          <w:rFonts w:hint="eastAsia" w:ascii="仿宋_GB2312" w:hAnsi="宋体" w:eastAsia="仿宋_GB2312"/>
          <w:color w:val="auto"/>
          <w:sz w:val="32"/>
          <w:szCs w:val="32"/>
          <w:highlight w:val="none"/>
        </w:rPr>
        <w:t>公开的深度广度仍需进一步深化拓展。政务公开工作涉及行政权力运行中“决策、执行、结果、管理、服务”全过程，现有公开工作与社会公众的期望仍有一定差距。</w:t>
      </w:r>
      <w:r>
        <w:rPr>
          <w:rFonts w:hint="eastAsia" w:ascii="仿宋_GB2312" w:eastAsia="仿宋_GB2312"/>
          <w:b/>
          <w:color w:val="auto"/>
          <w:sz w:val="32"/>
          <w:szCs w:val="32"/>
          <w:highlight w:val="none"/>
          <w:lang w:eastAsia="zh-CN"/>
        </w:rPr>
        <w:t>二</w:t>
      </w:r>
      <w:r>
        <w:rPr>
          <w:rFonts w:hint="eastAsia" w:ascii="仿宋_GB2312" w:eastAsia="仿宋_GB2312"/>
          <w:b/>
          <w:color w:val="auto"/>
          <w:sz w:val="32"/>
          <w:szCs w:val="32"/>
          <w:highlight w:val="none"/>
        </w:rPr>
        <w:t>是</w:t>
      </w:r>
      <w:r>
        <w:rPr>
          <w:rFonts w:hint="eastAsia" w:ascii="仿宋_GB2312" w:hAnsi="宋体" w:eastAsia="仿宋_GB2312"/>
          <w:color w:val="auto"/>
          <w:sz w:val="32"/>
          <w:szCs w:val="32"/>
          <w:highlight w:val="none"/>
          <w:lang w:eastAsia="zh-CN"/>
        </w:rPr>
        <w:t>网站、微博、微信、报纸等多种公开渠道联通机制还不完善</w:t>
      </w:r>
      <w:r>
        <w:rPr>
          <w:rFonts w:hint="eastAsia" w:ascii="仿宋_GB2312" w:hAnsi="宋体" w:eastAsia="仿宋_GB2312"/>
          <w:color w:val="auto"/>
          <w:sz w:val="32"/>
          <w:szCs w:val="32"/>
          <w:highlight w:val="none"/>
        </w:rPr>
        <w:t>。</w:t>
      </w:r>
      <w:r>
        <w:rPr>
          <w:rFonts w:ascii="仿宋_GB2312" w:hAnsi="宋体" w:eastAsia="仿宋_GB2312"/>
          <w:b/>
          <w:bCs/>
          <w:color w:val="auto"/>
          <w:sz w:val="32"/>
          <w:szCs w:val="32"/>
          <w:highlight w:val="none"/>
        </w:rPr>
        <w:t>三是</w:t>
      </w:r>
      <w:r>
        <w:rPr>
          <w:rFonts w:ascii="仿宋_GB2312" w:hAnsi="宋体" w:eastAsia="仿宋_GB2312"/>
          <w:color w:val="auto"/>
          <w:sz w:val="32"/>
          <w:szCs w:val="32"/>
          <w:highlight w:val="none"/>
        </w:rPr>
        <w:t>政府信息</w:t>
      </w:r>
      <w:r>
        <w:rPr>
          <w:rFonts w:hint="eastAsia" w:ascii="仿宋_GB2312" w:hAnsi="宋体" w:eastAsia="仿宋_GB2312"/>
          <w:color w:val="auto"/>
          <w:sz w:val="32"/>
          <w:szCs w:val="32"/>
          <w:highlight w:val="none"/>
        </w:rPr>
        <w:t>及政务</w:t>
      </w:r>
      <w:r>
        <w:rPr>
          <w:rFonts w:ascii="仿宋_GB2312" w:hAnsi="宋体" w:eastAsia="仿宋_GB2312"/>
          <w:color w:val="auto"/>
          <w:sz w:val="32"/>
          <w:szCs w:val="32"/>
          <w:highlight w:val="none"/>
        </w:rPr>
        <w:t>公开工作人员相关的政策、法规专业知识</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业务技能还有待提高。</w:t>
      </w:r>
    </w:p>
    <w:p>
      <w:pPr>
        <w:spacing w:line="560" w:lineRule="exact"/>
        <w:ind w:firstLine="640" w:firstLineChars="200"/>
        <w:rPr>
          <w:rFonts w:ascii="楷体_GB2312" w:hAnsi="仿宋_GB2312" w:eastAsia="楷体_GB2312"/>
          <w:color w:val="auto"/>
          <w:sz w:val="32"/>
          <w:szCs w:val="32"/>
          <w:highlight w:val="none"/>
        </w:rPr>
      </w:pPr>
      <w:r>
        <w:rPr>
          <w:rFonts w:hint="eastAsia" w:ascii="楷体_GB2312" w:hAnsi="仿宋_GB2312" w:eastAsia="楷体_GB2312"/>
          <w:color w:val="auto"/>
          <w:sz w:val="32"/>
          <w:szCs w:val="32"/>
          <w:highlight w:val="none"/>
        </w:rPr>
        <w:t>（二）</w:t>
      </w:r>
      <w:r>
        <w:rPr>
          <w:rFonts w:ascii="楷体_GB2312" w:hAnsi="仿宋_GB2312" w:eastAsia="楷体_GB2312"/>
          <w:color w:val="auto"/>
          <w:sz w:val="32"/>
          <w:szCs w:val="32"/>
          <w:highlight w:val="none"/>
        </w:rPr>
        <w:t>201</w:t>
      </w:r>
      <w:r>
        <w:rPr>
          <w:rFonts w:hint="eastAsia" w:ascii="楷体_GB2312" w:hAnsi="仿宋_GB2312" w:eastAsia="楷体_GB2312"/>
          <w:color w:val="auto"/>
          <w:sz w:val="32"/>
          <w:szCs w:val="32"/>
          <w:highlight w:val="none"/>
          <w:lang w:val="en-US" w:eastAsia="zh-CN"/>
        </w:rPr>
        <w:t>9</w:t>
      </w:r>
      <w:r>
        <w:rPr>
          <w:rFonts w:hint="eastAsia" w:ascii="楷体_GB2312" w:hAnsi="仿宋_GB2312" w:eastAsia="楷体_GB2312"/>
          <w:color w:val="auto"/>
          <w:sz w:val="32"/>
          <w:szCs w:val="32"/>
          <w:highlight w:val="none"/>
        </w:rPr>
        <w:t>年重点工作</w:t>
      </w:r>
    </w:p>
    <w:p>
      <w:pPr>
        <w:widowControl/>
        <w:shd w:val="clear" w:color="auto" w:fill="FFFFFF"/>
        <w:spacing w:line="560" w:lineRule="exact"/>
        <w:ind w:firstLine="640"/>
        <w:rPr>
          <w:rFonts w:hint="eastAsia" w:ascii="仿宋_GB2312" w:eastAsia="仿宋_GB2312"/>
          <w:color w:val="auto"/>
          <w:sz w:val="32"/>
          <w:szCs w:val="32"/>
          <w:highlight w:val="none"/>
        </w:rPr>
      </w:pPr>
      <w:r>
        <w:rPr>
          <w:rFonts w:ascii="楷体" w:hAnsi="楷体" w:eastAsia="楷体"/>
          <w:color w:val="auto"/>
          <w:sz w:val="32"/>
          <w:szCs w:val="32"/>
          <w:highlight w:val="none"/>
        </w:rPr>
        <w:t>一是</w:t>
      </w:r>
      <w:r>
        <w:rPr>
          <w:rFonts w:hint="eastAsia" w:ascii="楷体" w:hAnsi="楷体" w:eastAsia="楷体"/>
          <w:color w:val="auto"/>
          <w:sz w:val="32"/>
          <w:szCs w:val="32"/>
          <w:highlight w:val="none"/>
        </w:rPr>
        <w:t>推进政务公开工作规范化，完善一项制度</w:t>
      </w:r>
      <w:r>
        <w:rPr>
          <w:rFonts w:ascii="楷体" w:hAnsi="楷体" w:eastAsia="楷体"/>
          <w:color w:val="auto"/>
          <w:sz w:val="32"/>
          <w:szCs w:val="32"/>
          <w:highlight w:val="none"/>
        </w:rPr>
        <w:t>。</w:t>
      </w:r>
      <w:r>
        <w:rPr>
          <w:rFonts w:hint="eastAsia" w:ascii="仿宋_GB2312" w:eastAsia="仿宋_GB2312"/>
          <w:color w:val="auto"/>
          <w:sz w:val="32"/>
          <w:szCs w:val="32"/>
          <w:highlight w:val="none"/>
        </w:rPr>
        <w:t>进一步优化</w:t>
      </w:r>
      <w:r>
        <w:rPr>
          <w:rFonts w:ascii="仿宋_GB2312" w:eastAsia="仿宋_GB2312"/>
          <w:color w:val="auto"/>
          <w:sz w:val="32"/>
          <w:szCs w:val="32"/>
          <w:highlight w:val="none"/>
        </w:rPr>
        <w:t>公开信息目录，</w:t>
      </w:r>
      <w:r>
        <w:rPr>
          <w:rFonts w:hint="eastAsia" w:ascii="仿宋_GB2312" w:eastAsia="仿宋_GB2312"/>
          <w:color w:val="auto"/>
          <w:sz w:val="32"/>
          <w:szCs w:val="32"/>
          <w:highlight w:val="none"/>
        </w:rPr>
        <w:t>重点围绕财政预决算、环境治理、扶贫救灾等群众关切信息，以及劳动就业、社会保险、社会救助等方面的政务服务事项，探索适应基层特点的公开方式，打通政府联系服务群众“最后一公里”。</w:t>
      </w:r>
      <w:r>
        <w:rPr>
          <w:rFonts w:ascii="仿宋_GB2312" w:eastAsia="仿宋_GB2312"/>
          <w:color w:val="auto"/>
          <w:sz w:val="32"/>
          <w:szCs w:val="32"/>
          <w:highlight w:val="none"/>
        </w:rPr>
        <w:t>完善</w:t>
      </w:r>
      <w:r>
        <w:rPr>
          <w:rFonts w:hint="eastAsia" w:ascii="仿宋_GB2312" w:eastAsia="仿宋_GB2312"/>
          <w:color w:val="auto"/>
          <w:sz w:val="32"/>
          <w:szCs w:val="32"/>
          <w:highlight w:val="none"/>
        </w:rPr>
        <w:t>街道</w:t>
      </w:r>
      <w:r>
        <w:rPr>
          <w:rFonts w:hint="eastAsia" w:ascii="仿宋_GB2312" w:eastAsia="仿宋_GB2312"/>
          <w:color w:val="auto"/>
          <w:sz w:val="32"/>
          <w:szCs w:val="32"/>
          <w:highlight w:val="none"/>
          <w:lang w:eastAsia="zh-CN"/>
        </w:rPr>
        <w:t>主动</w:t>
      </w:r>
      <w:r>
        <w:rPr>
          <w:rFonts w:ascii="仿宋_GB2312" w:eastAsia="仿宋_GB2312"/>
          <w:color w:val="auto"/>
          <w:sz w:val="32"/>
          <w:szCs w:val="32"/>
          <w:highlight w:val="none"/>
        </w:rPr>
        <w:t>公开工作程序、制度、机制，</w:t>
      </w:r>
      <w:r>
        <w:rPr>
          <w:rFonts w:hint="eastAsia" w:ascii="仿宋_GB2312" w:eastAsia="仿宋_GB2312"/>
          <w:color w:val="auto"/>
          <w:sz w:val="32"/>
          <w:szCs w:val="32"/>
          <w:highlight w:val="none"/>
        </w:rPr>
        <w:t>完善</w:t>
      </w:r>
      <w:r>
        <w:rPr>
          <w:rFonts w:ascii="仿宋_GB2312" w:eastAsia="仿宋_GB2312"/>
          <w:color w:val="auto"/>
          <w:sz w:val="32"/>
          <w:szCs w:val="32"/>
          <w:highlight w:val="none"/>
        </w:rPr>
        <w:t>依申请公开工作受理、审查、办理、答复以及归档等标准规范，推进</w:t>
      </w:r>
      <w:r>
        <w:rPr>
          <w:rFonts w:hint="eastAsia" w:ascii="仿宋_GB2312" w:eastAsia="仿宋_GB2312"/>
          <w:color w:val="auto"/>
          <w:sz w:val="32"/>
          <w:szCs w:val="32"/>
          <w:highlight w:val="none"/>
        </w:rPr>
        <w:t>街道</w:t>
      </w:r>
      <w:r>
        <w:rPr>
          <w:rFonts w:ascii="仿宋_GB2312" w:eastAsia="仿宋_GB2312"/>
          <w:color w:val="auto"/>
          <w:sz w:val="32"/>
          <w:szCs w:val="32"/>
          <w:highlight w:val="none"/>
        </w:rPr>
        <w:t>政务公开工作取得新的突破。</w:t>
      </w:r>
    </w:p>
    <w:p>
      <w:pPr>
        <w:widowControl/>
        <w:shd w:val="clear" w:color="auto" w:fill="FFFFFF"/>
        <w:spacing w:line="560" w:lineRule="exact"/>
        <w:ind w:firstLine="640"/>
        <w:rPr>
          <w:rFonts w:ascii="黑体" w:eastAsia="黑体" w:cs="仿宋_GB2312"/>
          <w:color w:val="auto"/>
          <w:sz w:val="32"/>
          <w:szCs w:val="32"/>
          <w:highlight w:val="none"/>
        </w:rPr>
      </w:pPr>
      <w:r>
        <w:rPr>
          <w:rFonts w:hint="eastAsia" w:ascii="楷体" w:hAnsi="楷体" w:eastAsia="楷体"/>
          <w:color w:val="auto"/>
          <w:sz w:val="32"/>
          <w:szCs w:val="32"/>
          <w:highlight w:val="none"/>
          <w:lang w:eastAsia="zh-CN"/>
        </w:rPr>
        <w:t>二</w:t>
      </w:r>
      <w:r>
        <w:rPr>
          <w:rFonts w:ascii="楷体" w:hAnsi="楷体" w:eastAsia="楷体"/>
          <w:color w:val="auto"/>
          <w:sz w:val="32"/>
          <w:szCs w:val="32"/>
          <w:highlight w:val="none"/>
        </w:rPr>
        <w:t>是</w:t>
      </w:r>
      <w:r>
        <w:rPr>
          <w:rFonts w:hint="eastAsia" w:ascii="楷体" w:hAnsi="楷体" w:eastAsia="楷体"/>
          <w:color w:val="auto"/>
          <w:sz w:val="32"/>
          <w:szCs w:val="32"/>
          <w:highlight w:val="none"/>
        </w:rPr>
        <w:t>实现政务公开多平台联动管理，抓好</w:t>
      </w:r>
      <w:r>
        <w:rPr>
          <w:rFonts w:ascii="楷体" w:hAnsi="楷体" w:eastAsia="楷体"/>
          <w:color w:val="auto"/>
          <w:sz w:val="32"/>
          <w:szCs w:val="32"/>
          <w:highlight w:val="none"/>
        </w:rPr>
        <w:t>一</w:t>
      </w:r>
      <w:r>
        <w:rPr>
          <w:rFonts w:hint="eastAsia" w:ascii="楷体" w:hAnsi="楷体" w:eastAsia="楷体"/>
          <w:color w:val="auto"/>
          <w:sz w:val="32"/>
          <w:szCs w:val="32"/>
          <w:highlight w:val="none"/>
          <w:lang w:eastAsia="zh-CN"/>
        </w:rPr>
        <w:t>个</w:t>
      </w:r>
      <w:r>
        <w:rPr>
          <w:rFonts w:hint="eastAsia" w:ascii="楷体" w:hAnsi="楷体" w:eastAsia="楷体"/>
          <w:color w:val="auto"/>
          <w:sz w:val="32"/>
          <w:szCs w:val="32"/>
          <w:highlight w:val="none"/>
        </w:rPr>
        <w:t>重点</w:t>
      </w:r>
      <w:r>
        <w:rPr>
          <w:rFonts w:ascii="楷体" w:hAnsi="楷体" w:eastAsia="楷体"/>
          <w:color w:val="auto"/>
          <w:sz w:val="32"/>
          <w:szCs w:val="32"/>
          <w:highlight w:val="none"/>
        </w:rPr>
        <w:t>。</w:t>
      </w:r>
      <w:r>
        <w:rPr>
          <w:rFonts w:hint="eastAsia" w:ascii="仿宋_GB2312" w:eastAsia="仿宋_GB2312"/>
          <w:color w:val="auto"/>
          <w:sz w:val="32"/>
          <w:szCs w:val="32"/>
          <w:highlight w:val="none"/>
        </w:rPr>
        <w:t>积极利用新媒体搭建公众参与新平台，细化公众参与事项的范围，增进公众对政府工作的认同和支持；针对不同平台受众群体，开展不同的政务信息公开形式，推送区分性强的信息内容，实现政务公开多平台联动管理。</w:t>
      </w:r>
    </w:p>
    <w:p>
      <w:pPr>
        <w:widowControl/>
        <w:shd w:val="clear" w:color="auto" w:fill="FFFFFF"/>
        <w:spacing w:line="560" w:lineRule="exact"/>
        <w:ind w:firstLine="640"/>
        <w:rPr>
          <w:rFonts w:ascii="黑体" w:eastAsia="黑体" w:cs="仿宋_GB2312"/>
          <w:color w:val="auto"/>
          <w:sz w:val="32"/>
          <w:szCs w:val="32"/>
          <w:highlight w:val="none"/>
        </w:rPr>
      </w:pPr>
      <w:r>
        <w:rPr>
          <w:rFonts w:hint="eastAsia" w:ascii="楷体" w:hAnsi="楷体" w:eastAsia="楷体"/>
          <w:color w:val="auto"/>
          <w:sz w:val="32"/>
          <w:szCs w:val="32"/>
          <w:highlight w:val="none"/>
          <w:lang w:eastAsia="zh-CN"/>
        </w:rPr>
        <w:t>三</w:t>
      </w:r>
      <w:r>
        <w:rPr>
          <w:rFonts w:ascii="楷体" w:hAnsi="楷体" w:eastAsia="楷体"/>
          <w:color w:val="auto"/>
          <w:sz w:val="32"/>
          <w:szCs w:val="32"/>
          <w:highlight w:val="none"/>
        </w:rPr>
        <w:t>是</w:t>
      </w:r>
      <w:r>
        <w:rPr>
          <w:rFonts w:hint="eastAsia" w:ascii="楷体" w:hAnsi="楷体" w:eastAsia="楷体"/>
          <w:color w:val="auto"/>
          <w:sz w:val="32"/>
          <w:szCs w:val="32"/>
          <w:highlight w:val="none"/>
        </w:rPr>
        <w:t>加强政务公开</w:t>
      </w:r>
      <w:r>
        <w:rPr>
          <w:rFonts w:hint="eastAsia" w:ascii="楷体" w:hAnsi="楷体" w:eastAsia="楷体"/>
          <w:color w:val="auto"/>
          <w:sz w:val="32"/>
          <w:szCs w:val="32"/>
          <w:highlight w:val="none"/>
          <w:lang w:eastAsia="zh-CN"/>
        </w:rPr>
        <w:t>业务</w:t>
      </w:r>
      <w:r>
        <w:rPr>
          <w:rFonts w:hint="eastAsia" w:ascii="楷体" w:hAnsi="楷体" w:eastAsia="楷体"/>
          <w:color w:val="auto"/>
          <w:sz w:val="32"/>
          <w:szCs w:val="32"/>
          <w:highlight w:val="none"/>
        </w:rPr>
        <w:t>培训，</w:t>
      </w:r>
      <w:r>
        <w:rPr>
          <w:rFonts w:hint="eastAsia" w:ascii="楷体" w:hAnsi="楷体" w:eastAsia="楷体"/>
          <w:color w:val="auto"/>
          <w:sz w:val="32"/>
          <w:szCs w:val="32"/>
          <w:highlight w:val="none"/>
          <w:lang w:eastAsia="zh-CN"/>
        </w:rPr>
        <w:t>管好一支队伍</w:t>
      </w:r>
      <w:r>
        <w:rPr>
          <w:rFonts w:ascii="楷体" w:hAnsi="楷体" w:eastAsia="楷体"/>
          <w:color w:val="auto"/>
          <w:sz w:val="32"/>
          <w:szCs w:val="32"/>
          <w:highlight w:val="none"/>
        </w:rPr>
        <w:t>。</w:t>
      </w:r>
      <w:r>
        <w:rPr>
          <w:rFonts w:hint="eastAsia" w:ascii="仿宋_GB2312" w:eastAsia="仿宋_GB2312"/>
          <w:color w:val="auto"/>
          <w:sz w:val="32"/>
          <w:szCs w:val="32"/>
          <w:highlight w:val="none"/>
          <w:lang w:val="en-US" w:eastAsia="zh-CN"/>
        </w:rPr>
        <w:t>从培训实效出发，通过集中学法、专家授课、案例研讨和经验交流等方式，强化各级领导及工作人员的公开理念，提升工作能力。</w:t>
      </w:r>
    </w:p>
    <w:p>
      <w:pPr>
        <w:adjustRightInd w:val="0"/>
        <w:snapToGrid w:val="0"/>
        <w:spacing w:line="560" w:lineRule="exact"/>
        <w:rPr>
          <w:rFonts w:hint="eastAsia" w:ascii="黑体" w:eastAsia="黑体" w:cs="仿宋_GB2312"/>
          <w:sz w:val="32"/>
          <w:szCs w:val="32"/>
        </w:rPr>
      </w:pPr>
    </w:p>
    <w:p>
      <w:pPr>
        <w:adjustRightInd w:val="0"/>
        <w:snapToGrid w:val="0"/>
        <w:spacing w:line="560" w:lineRule="exact"/>
        <w:rPr>
          <w:rFonts w:hint="eastAsia" w:ascii="黑体" w:eastAsia="黑体" w:cs="仿宋_GB2312"/>
          <w:sz w:val="32"/>
          <w:szCs w:val="32"/>
        </w:rPr>
      </w:pPr>
      <w:r>
        <w:rPr>
          <w:rFonts w:hint="eastAsia" w:ascii="黑体" w:eastAsia="黑体" w:cs="仿宋_GB2312"/>
          <w:sz w:val="32"/>
          <w:szCs w:val="32"/>
        </w:rPr>
        <w:t>附表：</w:t>
      </w:r>
    </w:p>
    <w:tbl>
      <w:tblPr>
        <w:tblStyle w:val="4"/>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55"/>
        <w:gridCol w:w="7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w:t>
            </w:r>
            <w:r>
              <w:rPr>
                <w:rFonts w:hint="eastAsia" w:ascii="楷体_GB2312" w:hAnsi="宋体" w:eastAsia="楷体_GB2312" w:cs="宋体"/>
                <w:kern w:val="0"/>
                <w:sz w:val="32"/>
                <w:szCs w:val="32"/>
                <w:lang w:val="en-US" w:eastAsia="zh-CN"/>
              </w:rPr>
              <w:t>8</w:t>
            </w:r>
            <w:r>
              <w:rPr>
                <w:rFonts w:hint="eastAsia" w:ascii="楷体_GB2312" w:hAnsi="宋体" w:eastAsia="楷体_GB2312" w:cs="宋体"/>
                <w:kern w:val="0"/>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11</w:t>
            </w:r>
            <w:r>
              <w:rPr>
                <w:rFonts w:hint="eastAsia" w:ascii="Arial" w:hAnsi="Arial" w:eastAsia="宋体"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w:t>
            </w:r>
            <w:r>
              <w:rPr>
                <w:rFonts w:hint="eastAsia" w:ascii="仿宋_GB2312" w:hAnsi="宋体" w:eastAsia="仿宋_GB2312" w:cs="宋体"/>
                <w:kern w:val="0"/>
                <w:sz w:val="24"/>
                <w:lang w:eastAsia="zh-CN"/>
              </w:rPr>
              <w:t>“三公”经费</w:t>
            </w:r>
            <w:r>
              <w:rPr>
                <w:rFonts w:hint="eastAsia" w:ascii="仿宋_GB2312" w:hAnsi="宋体" w:eastAsia="仿宋_GB2312" w:cs="宋体"/>
                <w:kern w:val="0"/>
                <w:sz w:val="24"/>
              </w:rPr>
              <w:t>和行政经费信息数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w:t>
            </w:r>
            <w:r>
              <w:rPr>
                <w:rFonts w:ascii="Arial" w:hAnsi="Arial" w:eastAsia="宋体"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w:t>
            </w:r>
            <w:r>
              <w:rPr>
                <w:rFonts w:ascii="Arial" w:hAnsi="Arial" w:eastAsia="宋体"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w:t>
            </w:r>
            <w:r>
              <w:rPr>
                <w:rFonts w:ascii="Arial" w:hAnsi="Arial" w:eastAsia="宋体"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 xml:space="preserve">  （一）维持具体行政行为或者驳回原告诉讼请求数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hint="eastAsia" w:ascii="仿宋_GB2312" w:hAnsi="宋体" w:eastAsia="仿宋_GB2312" w:cs="宋体"/>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元</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hint="eastAsia" w:ascii="Arial" w:hAnsi="Arial" w:eastAsia="宋体" w:cs="Arial"/>
                <w:i w:val="0"/>
                <w:color w:val="000000"/>
                <w:kern w:val="0"/>
                <w:sz w:val="20"/>
                <w:szCs w:val="20"/>
                <w:u w:val="none"/>
                <w:lang w:val="en-US" w:eastAsia="zh-CN" w:bidi="ar-SA"/>
              </w:rPr>
            </w:pPr>
            <w:r>
              <w:rPr>
                <w:rFonts w:hint="eastAsia"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1</w:t>
            </w:r>
            <w:r>
              <w:rPr>
                <w:rFonts w:hint="eastAsia" w:ascii="Arial" w:hAnsi="Arial"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2</w:t>
            </w:r>
            <w:r>
              <w:rPr>
                <w:rFonts w:hint="eastAsia" w:ascii="Arial" w:hAnsi="Arial"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hint="eastAsia" w:ascii="仿宋_GB2312" w:hAnsi="宋体" w:eastAsia="仿宋_GB2312" w:cs="宋体"/>
                <w:kern w:val="0"/>
                <w:sz w:val="24"/>
              </w:rPr>
            </w:pPr>
          </w:p>
        </w:tc>
        <w:tc>
          <w:tcPr>
            <w:tcW w:w="1080" w:type="dxa"/>
            <w:tcBorders>
              <w:top w:val="nil"/>
              <w:left w:val="nil"/>
              <w:bottom w:val="single" w:color="auto" w:sz="4" w:space="0"/>
              <w:right w:val="single" w:color="auto" w:sz="8" w:space="0"/>
            </w:tcBorders>
            <w:vAlign w:val="center"/>
          </w:tcPr>
          <w:p>
            <w:pPr>
              <w:widowControl/>
              <w:jc w:val="center"/>
              <w:textAlignment w:val="bottom"/>
              <w:rPr>
                <w:rFonts w:ascii="Arial" w:hAnsi="Arial" w:eastAsia="宋体" w:cs="Arial"/>
                <w:i w:val="0"/>
                <w:color w:val="000000"/>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ascii="Arial" w:hAnsi="Arial" w:eastAsia="宋体" w:cs="Arial"/>
                <w:i w:val="0"/>
                <w:color w:val="000000"/>
                <w:kern w:val="0"/>
                <w:sz w:val="20"/>
                <w:szCs w:val="20"/>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bottom"/>
          </w:tcPr>
          <w:p>
            <w:pPr>
              <w:widowControl/>
              <w:jc w:val="center"/>
              <w:textAlignment w:val="bottom"/>
              <w:rPr>
                <w:rFonts w:ascii="Arial" w:hAnsi="Arial" w:eastAsia="宋体" w:cs="Arial"/>
                <w:i w:val="0"/>
                <w:color w:val="000000"/>
                <w:kern w:val="0"/>
                <w:sz w:val="20"/>
                <w:szCs w:val="20"/>
                <w:u w:val="none"/>
                <w:lang w:val="en-US" w:eastAsia="zh-CN" w:bidi="ar-SA"/>
              </w:rPr>
            </w:pPr>
            <w:r>
              <w:rPr>
                <w:rFonts w:hint="eastAsia" w:ascii="Arial" w:hAnsi="Arial"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vAlign w:val="bottom"/>
          </w:tcPr>
          <w:p>
            <w:pPr>
              <w:widowControl/>
              <w:jc w:val="center"/>
              <w:textAlignment w:val="bottom"/>
              <w:rPr>
                <w:rFonts w:ascii="仿宋_GB2312" w:hAnsi="宋体" w:eastAsia="仿宋_GB2312" w:cs="宋体"/>
                <w:kern w:val="0"/>
                <w:sz w:val="24"/>
              </w:rPr>
            </w:pPr>
            <w:r>
              <w:rPr>
                <w:rFonts w:ascii="Arial" w:hAnsi="Arial" w:eastAsia="宋体" w:cs="Arial"/>
                <w:i w:val="0"/>
                <w:color w:val="000000"/>
                <w:kern w:val="0"/>
                <w:sz w:val="20"/>
                <w:szCs w:val="20"/>
                <w:u w:val="none"/>
                <w:lang w:val="en-US" w:eastAsia="zh-CN" w:bidi="ar-SA"/>
              </w:rPr>
              <w:t>9</w:t>
            </w:r>
            <w:r>
              <w:rPr>
                <w:rFonts w:hint="eastAsia" w:ascii="Arial" w:hAnsi="Arial" w:cs="Arial"/>
                <w:i w:val="0"/>
                <w:color w:val="000000"/>
                <w:kern w:val="0"/>
                <w:sz w:val="20"/>
                <w:szCs w:val="20"/>
                <w:u w:val="none"/>
                <w:lang w:val="en-US" w:eastAsia="zh-CN" w:bidi="ar-SA"/>
              </w:rPr>
              <w:t>5</w:t>
            </w:r>
          </w:p>
        </w:tc>
      </w:tr>
    </w:tbl>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auto"/>
    <w:pitch w:val="default"/>
    <w:sig w:usb0="00000000" w:usb1="00000000"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pPr>
      <w:pStyle w:val="2"/>
      <w:ind w:right="360"/>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E4MGFkYTkwNjZjODA3YTU3OGUyNDFjZDZiMjMyMWMifQ=="/>
  </w:docVars>
  <w:rsids>
    <w:rsidRoot w:val="00120496"/>
    <w:rsid w:val="00120496"/>
    <w:rsid w:val="001509A3"/>
    <w:rsid w:val="001B2152"/>
    <w:rsid w:val="00253EAD"/>
    <w:rsid w:val="00430FF7"/>
    <w:rsid w:val="00467EA7"/>
    <w:rsid w:val="004B72B6"/>
    <w:rsid w:val="006F73EC"/>
    <w:rsid w:val="00700DF7"/>
    <w:rsid w:val="00A74195"/>
    <w:rsid w:val="00C572F0"/>
    <w:rsid w:val="00C82130"/>
    <w:rsid w:val="00D0223F"/>
    <w:rsid w:val="00D457E9"/>
    <w:rsid w:val="00E72B8A"/>
    <w:rsid w:val="00EF0DDF"/>
    <w:rsid w:val="150542AC"/>
    <w:rsid w:val="1AC970F1"/>
    <w:rsid w:val="1C180006"/>
    <w:rsid w:val="2FFE0920"/>
    <w:rsid w:val="33657E6C"/>
    <w:rsid w:val="4CF74C06"/>
    <w:rsid w:val="50875976"/>
    <w:rsid w:val="51947FC5"/>
    <w:rsid w:val="675550CF"/>
    <w:rsid w:val="6AE9734E"/>
    <w:rsid w:val="6F144F69"/>
    <w:rsid w:val="7A1C48BD"/>
    <w:rsid w:val="7A756250"/>
    <w:rsid w:val="7F547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rFonts w:ascii="Calibri" w:hAnsi="Calibri" w:cs="黑体"/>
      <w:sz w:val="18"/>
      <w:szCs w:val="18"/>
    </w:rPr>
  </w:style>
  <w:style w:type="paragraph" w:styleId="3">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6">
    <w:name w:val="page number"/>
    <w:basedOn w:val="5"/>
    <w:uiPriority w:val="0"/>
  </w:style>
  <w:style w:type="character" w:styleId="7">
    <w:name w:val="FollowedHyperlink"/>
    <w:basedOn w:val="5"/>
    <w:unhideWhenUsed/>
    <w:qFormat/>
    <w:uiPriority w:val="0"/>
    <w:rPr>
      <w:color w:val="333333"/>
      <w:u w:val="none"/>
    </w:rPr>
  </w:style>
  <w:style w:type="character" w:styleId="8">
    <w:name w:val="Emphasis"/>
    <w:basedOn w:val="5"/>
    <w:qFormat/>
    <w:uiPriority w:val="20"/>
  </w:style>
  <w:style w:type="character" w:styleId="9">
    <w:name w:val="Hyperlink"/>
    <w:basedOn w:val="5"/>
    <w:unhideWhenUsed/>
    <w:qFormat/>
    <w:uiPriority w:val="0"/>
    <w:rPr>
      <w:color w:val="333333"/>
      <w:u w:val="none"/>
    </w:rPr>
  </w:style>
  <w:style w:type="character" w:customStyle="1" w:styleId="10">
    <w:name w:val="页脚 Char"/>
    <w:link w:val="2"/>
    <w:uiPriority w:val="0"/>
    <w:rPr>
      <w:rFonts w:eastAsia="宋体"/>
      <w:sz w:val="18"/>
      <w:szCs w:val="18"/>
    </w:rPr>
  </w:style>
  <w:style w:type="character" w:customStyle="1" w:styleId="11">
    <w:name w:val="页脚 Char1"/>
    <w:basedOn w:val="5"/>
    <w:semiHidden/>
    <w:qFormat/>
    <w:uiPriority w:val="99"/>
    <w:rPr>
      <w:rFonts w:ascii="Times New Roman" w:hAnsi="Times New Roman" w:eastAsia="宋体" w:cs="Times New Roman"/>
      <w:sz w:val="18"/>
      <w:szCs w:val="18"/>
    </w:rPr>
  </w:style>
  <w:style w:type="character" w:customStyle="1" w:styleId="12">
    <w:name w:val="jiuc"/>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773</Words>
  <Characters>4412</Characters>
  <Lines>36</Lines>
  <Paragraphs>10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2017-02-04T01:58:00Z</dcterms:created>
  <dc:creator>江钱</dc:creator>
  <cp:lastModifiedBy>李元隆</cp:lastModifiedBy>
  <dcterms:modified xsi:type="dcterms:W3CDTF">2025-03-07T14:04:19Z</dcterms:modified>
  <dc:title>北京市东城区龙潭街道办事处2017年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D45DED2FD28E4B20B57E05A0A9B50083_12</vt:lpwstr>
  </property>
</Properties>
</file>