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CA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ascii="仿宋_GB2312" w:hAnsi="Arial" w:eastAsia="仿宋_GB2312" w:cs="仿宋_GB2312"/>
          <w:sz w:val="31"/>
          <w:szCs w:val="31"/>
        </w:rPr>
        <w:t>本报告是根据《中华人民共和国政府信息公开条例》</w:t>
      </w:r>
      <w:r>
        <w:rPr>
          <w:rFonts w:hint="default" w:ascii="仿宋_GB2312" w:hAnsi="Arial" w:eastAsia="仿宋_GB2312" w:cs="仿宋_GB2312"/>
          <w:color w:val="000000"/>
          <w:sz w:val="31"/>
          <w:szCs w:val="31"/>
        </w:rPr>
        <w:t>（</w:t>
      </w:r>
      <w:r>
        <w:rPr>
          <w:rFonts w:hint="default" w:ascii="仿宋_GB2312" w:hAnsi="Arial" w:eastAsia="仿宋_GB2312" w:cs="仿宋_GB2312"/>
          <w:sz w:val="31"/>
          <w:szCs w:val="31"/>
        </w:rPr>
        <w:t>以下简称《条例》）要求</w:t>
      </w:r>
      <w:r>
        <w:rPr>
          <w:rFonts w:hint="default" w:ascii="仿宋_GB2312" w:hAnsi="Arial" w:eastAsia="仿宋_GB2312" w:cs="仿宋_GB2312"/>
          <w:color w:val="000000"/>
          <w:sz w:val="31"/>
          <w:szCs w:val="31"/>
        </w:rPr>
        <w:t>，由北京市东城区东花市街道办事处编制的2016年度政府信息公开年度报告。</w:t>
      </w:r>
    </w:p>
    <w:p w14:paraId="71C3E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Arial" w:eastAsia="仿宋_GB2312" w:cs="仿宋_GB2312"/>
          <w:color w:val="000000"/>
          <w:sz w:val="31"/>
          <w:szCs w:val="31"/>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14:paraId="0E93D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Arial" w:eastAsia="仿宋_GB2312" w:cs="仿宋_GB2312"/>
          <w:sz w:val="31"/>
          <w:szCs w:val="31"/>
        </w:rPr>
        <w:t>本报告中所列数据的统计期限自2016年1月1日起，至2016年12月31日止。本报告的电子</w:t>
      </w:r>
      <w:r>
        <w:rPr>
          <w:rFonts w:hint="default" w:ascii="仿宋_GB2312" w:hAnsi="Arial" w:eastAsia="仿宋_GB2312" w:cs="仿宋_GB2312"/>
          <w:spacing w:val="-2"/>
          <w:sz w:val="31"/>
          <w:szCs w:val="31"/>
        </w:rPr>
        <w:t>版可在“首都之窗”门户网站（</w:t>
      </w:r>
      <w:r>
        <w:rPr>
          <w:rFonts w:hint="default" w:ascii="Times New Roman" w:hAnsi="Times New Roman" w:cs="Times New Roman"/>
          <w:spacing w:val="-2"/>
          <w:sz w:val="31"/>
          <w:szCs w:val="31"/>
        </w:rPr>
        <w:t>http://www.beijing.gov.cn/</w:t>
      </w:r>
      <w:r>
        <w:rPr>
          <w:rFonts w:hint="default" w:ascii="仿宋_GB2312" w:hAnsi="Arial" w:eastAsia="仿宋_GB2312" w:cs="仿宋_GB2312"/>
          <w:spacing w:val="-2"/>
          <w:sz w:val="31"/>
          <w:szCs w:val="31"/>
        </w:rPr>
        <w:t>）下载。</w:t>
      </w:r>
      <w:r>
        <w:rPr>
          <w:rFonts w:hint="default" w:ascii="仿宋_GB2312" w:hAnsi="Arial" w:eastAsia="仿宋_GB2312" w:cs="仿宋_GB2312"/>
          <w:color w:val="000000"/>
          <w:sz w:val="31"/>
          <w:szCs w:val="31"/>
        </w:rPr>
        <w:t>如对本报告有任何疑问，请联系：东城区东花市街道办事处，电话：010-67188640。</w:t>
      </w:r>
    </w:p>
    <w:p w14:paraId="554B9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黑体" w:hAnsi="宋体" w:eastAsia="黑体" w:cs="黑体"/>
          <w:sz w:val="31"/>
          <w:szCs w:val="31"/>
        </w:rPr>
        <w:t>一、工作情况</w:t>
      </w:r>
    </w:p>
    <w:p w14:paraId="5450B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楷体_GB2312" w:hAnsi="Arial" w:eastAsia="楷体_GB2312" w:cs="楷体_GB2312"/>
          <w:sz w:val="31"/>
          <w:szCs w:val="31"/>
        </w:rPr>
        <w:t>（一）</w:t>
      </w:r>
      <w:r>
        <w:rPr>
          <w:rFonts w:hint="default" w:ascii="楷体_GB2312" w:hAnsi="Arial" w:eastAsia="楷体_GB2312" w:cs="楷体_GB2312"/>
          <w:sz w:val="31"/>
          <w:szCs w:val="31"/>
        </w:rPr>
        <w:t>加强和完善政务公开工作机制</w:t>
      </w:r>
    </w:p>
    <w:p w14:paraId="68249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Arial" w:eastAsia="仿宋_GB2312" w:cs="仿宋_GB2312"/>
          <w:sz w:val="31"/>
          <w:szCs w:val="31"/>
        </w:rPr>
        <w:t>修订《东花市街道政府信息主动公开制度》，制定《东花市街道关于加强信息工作的实施意见》，为街道政务信息公开工作提供指引，使工作规范化、科学化；信息公开严格执行《东花市街道办事处政府信息公开保密审查制度》，</w:t>
      </w:r>
      <w:r>
        <w:rPr>
          <w:rFonts w:hint="default" w:ascii="仿宋_GB2312" w:hAnsi="Arial" w:eastAsia="仿宋_GB2312" w:cs="仿宋_GB2312"/>
          <w:spacing w:val="-4"/>
          <w:sz w:val="31"/>
          <w:szCs w:val="31"/>
        </w:rPr>
        <w:t>按照“谁主管、谁负责”的原则</w:t>
      </w:r>
      <w:r>
        <w:rPr>
          <w:rFonts w:hint="default" w:ascii="仿宋_GB2312" w:hAnsi="Arial" w:eastAsia="仿宋_GB2312" w:cs="仿宋_GB2312"/>
          <w:sz w:val="31"/>
          <w:szCs w:val="31"/>
        </w:rPr>
        <w:t>实行双重审核制度，由街道各部门将需要公开的信息填写《东花市街道政府信息公开申请与保密申请审核表》，由所在部门负责人、主管主任双层审核签字同意后，方可公开</w:t>
      </w:r>
      <w:r>
        <w:rPr>
          <w:rFonts w:hint="default" w:ascii="仿宋_GB2312" w:hAnsi="Arial" w:eastAsia="仿宋_GB2312" w:cs="仿宋_GB2312"/>
          <w:spacing w:val="-4"/>
          <w:sz w:val="31"/>
          <w:szCs w:val="31"/>
        </w:rPr>
        <w:t>。确保信息公开依法、全面、准确、及时、一致。</w:t>
      </w:r>
    </w:p>
    <w:p w14:paraId="3EC18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Arial" w:eastAsia="仿宋_GB2312" w:cs="仿宋_GB2312"/>
          <w:sz w:val="31"/>
          <w:szCs w:val="31"/>
        </w:rPr>
        <w:t>按照“互联网+”理念创新“互联网+手机”模式，开发“智慧花市”智能手机端应用软件，居民可以从网上下载或扫二维码的方式将应用软件安装到手机上。该软件提供各部门职责、负责人和联系电话等政务信息，并提供地区微循环交通系统以及便民服务网点信息，真正将老百姓最需要的服务管理内容用现代化方式传送出去。</w:t>
      </w:r>
    </w:p>
    <w:p w14:paraId="50813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Arial" w:eastAsia="仿宋_GB2312" w:cs="仿宋_GB2312"/>
          <w:sz w:val="31"/>
          <w:szCs w:val="31"/>
        </w:rPr>
        <w:t>推进街道三个社区（北里西区、花市枣苑和南里社区）申请创建微信公众号，及时发布便民消息和活动消息，运用微信新技术发挥网格化服务管理的“全民参与、社会协同”作用。</w:t>
      </w:r>
    </w:p>
    <w:p w14:paraId="71F33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楷体_GB2312" w:hAnsi="Arial" w:eastAsia="楷体_GB2312" w:cs="楷体_GB2312"/>
          <w:sz w:val="31"/>
          <w:szCs w:val="31"/>
        </w:rPr>
        <w:t>（二）通过不同平台开展政策解读</w:t>
      </w:r>
    </w:p>
    <w:p w14:paraId="3EDB8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Arial" w:eastAsia="仿宋_GB2312" w:cs="仿宋_GB2312"/>
          <w:sz w:val="31"/>
          <w:szCs w:val="31"/>
        </w:rPr>
        <w:t>全年，东花市官方微博在新浪平台累计发布微博4378条，“和谐花市”微信公众号累计发布微信内容150条，累计阅读量达到15062人次，为地区居民提供政策解读、便民服务等资讯。</w:t>
      </w:r>
    </w:p>
    <w:p w14:paraId="0C2FC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楷体_GB2312" w:hAnsi="Arial" w:eastAsia="楷体_GB2312" w:cs="楷体_GB2312"/>
          <w:sz w:val="31"/>
          <w:szCs w:val="31"/>
        </w:rPr>
        <w:t>（三）不断拓宽公众参与渠道</w:t>
      </w:r>
    </w:p>
    <w:p w14:paraId="69E31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Arial" w:eastAsia="仿宋_GB2312" w:cs="仿宋_GB2312"/>
          <w:sz w:val="31"/>
          <w:szCs w:val="31"/>
        </w:rPr>
        <w:t>搭建民意“反应—回馈”的绿色通道，通过各种方式“解民意，察民情，问民计，汇民智”。广外邻里服务中心建设针对居民开展“开放空间大讨论”，对邻里服务中心各个功能室的设计使用情况不断、适时调整空间功能，征求居民意见。北里东区文化活动中心设计方案、枣苑社区和忠实里社区奥林匹克体育生活化社区设计方案分别召开居民座谈会，征求社区居民意见，修改完善方案。</w:t>
      </w:r>
    </w:p>
    <w:p w14:paraId="11EA3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Arial" w:eastAsia="仿宋_GB2312" w:cs="仿宋_GB2312"/>
          <w:sz w:val="31"/>
          <w:szCs w:val="31"/>
        </w:rPr>
        <w:t>建立“五方联席会”（业委会、物业、社区、街道办事处、派出所五方力量），每季度至少召开一次联席会议，准确掌握居民的想法和诉求，并商议确定具体解决问题实施方案。</w:t>
      </w:r>
    </w:p>
    <w:p w14:paraId="3E571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Arial" w:eastAsia="仿宋_GB2312" w:cs="仿宋_GB2312"/>
          <w:sz w:val="31"/>
          <w:szCs w:val="31"/>
        </w:rPr>
        <w:t>整合现有社区信息化建设资源，探索实践网上论坛、社区博客、微博等信息化技术手段，提供内容丰富的行政服务、社会事务服务和社区便民服务，拓宽政府与公众的沟通反馈渠道，切实保障社区居民的知情权、参与权、决策权、监督权。</w:t>
      </w:r>
    </w:p>
    <w:p w14:paraId="2CA22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1"/>
          <w:szCs w:val="31"/>
        </w:rPr>
        <w:t>二、重点领域信息公开情况</w:t>
      </w:r>
    </w:p>
    <w:p w14:paraId="7DF5A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Arial" w:eastAsia="仿宋_GB2312" w:cs="仿宋_GB2312"/>
          <w:sz w:val="31"/>
          <w:szCs w:val="31"/>
        </w:rPr>
        <w:t>对重大项目西忠实里项目征收补偿方案及居民签定补偿协议情况及时进行了公开；及时公开群租房和地下空间安全隐患及整改信息；对街道现有的2项行政处罚职权进行梳理，机关行政处罚事项名称、办理依据等内容在单位门户网站上公开；按照区要求按时公开2016年部门预算信息、部门“三公”经费预算数据及2015年部门决算信息、部门“三公”经费决算数据，大力推进财政资金信息公开；及时公开保障性住房工作动态，推进公租房、廉租房等的分配政策、分配房源、分配对象、分配结果等相关信息公开。</w:t>
      </w:r>
    </w:p>
    <w:p w14:paraId="36FCA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1"/>
          <w:szCs w:val="31"/>
        </w:rPr>
        <w:t>三、信息公开数据</w:t>
      </w:r>
    </w:p>
    <w:p w14:paraId="3606B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楷体_GB2312" w:hAnsi="Arial" w:eastAsia="楷体_GB2312" w:cs="楷体_GB2312"/>
          <w:color w:val="000000"/>
          <w:sz w:val="31"/>
          <w:szCs w:val="31"/>
        </w:rPr>
        <w:t>（一）主动公开情况</w:t>
      </w:r>
    </w:p>
    <w:p w14:paraId="4DB03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Arial" w:eastAsia="仿宋_GB2312" w:cs="仿宋_GB2312"/>
          <w:sz w:val="31"/>
          <w:szCs w:val="31"/>
        </w:rPr>
        <w:t>东花市街道办事处2016年主动公开信息取得突破性进展，政府信息公开专栏全年主动公开政府信息847条，公开数量10次进入街道系统排名前五。其中机构职能类1条，规划计划类2条，行政职责类2条，业务动态类842条。在街道门户网站公开信息315条。《和谐花市》社区报出版发行23期，印发27.6万余份。每月向东城区档案局（馆）、文委（图书馆）、行政服务中心3个部门移送政府信息纸质文本，共36份。</w:t>
      </w:r>
    </w:p>
    <w:p w14:paraId="616DB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楷体_GB2312" w:hAnsi="Arial" w:eastAsia="楷体_GB2312" w:cs="楷体_GB2312"/>
          <w:color w:val="000000"/>
          <w:sz w:val="31"/>
          <w:szCs w:val="31"/>
        </w:rPr>
        <w:t>（二）回应解读情况</w:t>
      </w:r>
    </w:p>
    <w:p w14:paraId="56C40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Arial" w:eastAsia="仿宋_GB2312" w:cs="仿宋_GB2312"/>
          <w:sz w:val="31"/>
          <w:szCs w:val="31"/>
        </w:rPr>
        <w:t>本年度回应中央环保督察组信访件2件、区政府督查督办20件;收到区长信箱信件50件，办结50件，办结率100%；协调区房管局、区住建委等部门办理、回复人大代表建议4件，政协委员提案1件。</w:t>
      </w:r>
    </w:p>
    <w:p w14:paraId="7F6C4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楷体_GB2312" w:hAnsi="Arial" w:eastAsia="楷体_GB2312" w:cs="楷体_GB2312"/>
          <w:color w:val="000000"/>
          <w:sz w:val="31"/>
          <w:szCs w:val="31"/>
        </w:rPr>
        <w:t>（三）依申请公开情况</w:t>
      </w:r>
    </w:p>
    <w:p w14:paraId="4D91E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Arial" w:eastAsia="仿宋_GB2312" w:cs="仿宋_GB2312"/>
          <w:sz w:val="31"/>
          <w:szCs w:val="31"/>
        </w:rPr>
        <w:t>2016年，街道共受理依申请公开3件，已到答复期的3项申请事项全部按期答复。从申请方式上看，当面申请1件，传真申请1件，信函申请1件。从答复类型上看，同意公开1件，非本机关政府信息1件，信息不存在1件。申请内容主要涉及拆迁补偿、违法建设拆除等方面。</w:t>
      </w:r>
    </w:p>
    <w:p w14:paraId="6E2A4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楷体_GB2312" w:hAnsi="Arial" w:eastAsia="楷体_GB2312" w:cs="楷体_GB2312"/>
          <w:color w:val="000000"/>
          <w:sz w:val="31"/>
          <w:szCs w:val="31"/>
        </w:rPr>
        <w:t>（四）行政复议、诉讼及举报情况</w:t>
      </w:r>
    </w:p>
    <w:p w14:paraId="02705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Arial" w:eastAsia="仿宋_GB2312" w:cs="仿宋_GB2312"/>
          <w:color w:val="000000"/>
          <w:sz w:val="31"/>
          <w:szCs w:val="31"/>
        </w:rPr>
        <w:t xml:space="preserve">针对本单位政府信息公开的行政诉讼案0件，针对本单位政府信息公开的申诉案0件。 </w:t>
      </w:r>
    </w:p>
    <w:p w14:paraId="092B7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楷体_GB2312" w:hAnsi="Arial" w:eastAsia="楷体_GB2312" w:cs="楷体_GB2312"/>
          <w:sz w:val="31"/>
          <w:szCs w:val="31"/>
        </w:rPr>
        <w:t>（五）机构建设及保障培训情况</w:t>
      </w:r>
    </w:p>
    <w:p w14:paraId="42489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Arial" w:eastAsia="仿宋_GB2312" w:cs="仿宋_GB2312"/>
          <w:sz w:val="31"/>
          <w:szCs w:val="31"/>
        </w:rPr>
        <w:t>街道成立政府信息和政务公开工作领导小组，明确组织领导体系和此项工作专兼职工作人员，做到机构、人员、责任三明确，为推进政府信息和政务公开工作提供了有力的保障。本年度，街道共举办政务信息公开专题培训会2次，累计培训信息员50余人次，邀请区信息办信息科工作人员为各科室信息员培训,有效提高了机关干部信息报送的能力。</w:t>
      </w:r>
    </w:p>
    <w:p w14:paraId="3E02D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Arial" w:eastAsia="楷体_GB2312" w:cs="楷体_GB2312"/>
          <w:b/>
          <w:color w:val="000000"/>
          <w:sz w:val="31"/>
          <w:szCs w:val="31"/>
        </w:rPr>
        <w:t>（一）申请情况</w:t>
      </w:r>
    </w:p>
    <w:p w14:paraId="7FD69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Arial" w:eastAsia="仿宋_GB2312" w:cs="仿宋_GB2312"/>
          <w:color w:val="000000"/>
          <w:sz w:val="31"/>
          <w:szCs w:val="31"/>
        </w:rPr>
        <w:t>本单位年度共收到政府信息公开申请0件。</w:t>
      </w:r>
    </w:p>
    <w:p w14:paraId="06752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Arial" w:eastAsia="楷体_GB2312" w:cs="楷体_GB2312"/>
          <w:b/>
          <w:color w:val="000000"/>
          <w:sz w:val="31"/>
          <w:szCs w:val="31"/>
        </w:rPr>
        <w:t>（二）答复情况</w:t>
      </w:r>
    </w:p>
    <w:p w14:paraId="42655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Arial" w:eastAsia="仿宋_GB2312" w:cs="仿宋_GB2312"/>
          <w:sz w:val="31"/>
          <w:szCs w:val="31"/>
        </w:rPr>
        <w:t>无。</w:t>
      </w:r>
    </w:p>
    <w:p w14:paraId="2F2E0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Arial" w:eastAsia="楷体_GB2312" w:cs="楷体_GB2312"/>
          <w:b/>
          <w:color w:val="000000"/>
          <w:sz w:val="31"/>
          <w:szCs w:val="31"/>
        </w:rPr>
        <w:t>（三）依申请公开政府信息减免收费情况</w:t>
      </w:r>
    </w:p>
    <w:p w14:paraId="7C871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Arial" w:eastAsia="仿宋_GB2312" w:cs="仿宋_GB2312"/>
          <w:color w:val="000000"/>
          <w:sz w:val="31"/>
          <w:szCs w:val="31"/>
        </w:rPr>
        <w:t>2016年本单位对政府信息公开申请人减免收取检索、复印、邮递等成本费用共计0元。</w:t>
      </w:r>
    </w:p>
    <w:p w14:paraId="217DF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Arial" w:eastAsia="仿宋_GB2312" w:cs="仿宋_GB2312"/>
          <w:color w:val="000000"/>
          <w:sz w:val="31"/>
          <w:szCs w:val="31"/>
        </w:rPr>
        <w:t xml:space="preserve">2016年，针对本单位政府信息公开的行政复议申请0件，针对本单位政府信息公开的行政诉讼案0件，针对本单位政府信息公开的申诉案0件。 </w:t>
      </w:r>
    </w:p>
    <w:p w14:paraId="483E5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color w:val="000000"/>
          <w:sz w:val="31"/>
          <w:szCs w:val="31"/>
        </w:rPr>
        <w:t>四、存在的不足及改进措施</w:t>
      </w:r>
    </w:p>
    <w:p w14:paraId="22C2C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楷体_GB2312" w:hAnsi="Arial" w:eastAsia="楷体_GB2312" w:cs="楷体_GB2312"/>
          <w:color w:val="000000"/>
          <w:sz w:val="31"/>
          <w:szCs w:val="31"/>
        </w:rPr>
        <w:t>（一）存在的问题。</w:t>
      </w:r>
    </w:p>
    <w:p w14:paraId="07181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Arial" w:eastAsia="仿宋_GB2312" w:cs="仿宋_GB2312"/>
          <w:color w:val="000000"/>
          <w:sz w:val="31"/>
          <w:szCs w:val="31"/>
        </w:rPr>
        <w:t>2016年，我街道在政府信息公开工作方面存在的主要问题是：一是专门机构建设仍需进一步完善。街道信息公开工作一直是办公室人员负责，且人员编制少，工作量大，人手紧缺；二是人员依法行政能力有待提高。信息公开工作人员对法律法规的理解和掌握有待深入，工作人员法律意识和素质有待进一步加强；三是对信息公开工作分析研究有待进一步深入。对行政管理全过程公开、政府信息数据开放等信息公开新任务的研究需要进一步加强。</w:t>
      </w:r>
    </w:p>
    <w:p w14:paraId="69A78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楷体_GB2312" w:hAnsi="Arial" w:eastAsia="楷体_GB2312" w:cs="楷体_GB2312"/>
          <w:color w:val="000000"/>
          <w:sz w:val="31"/>
          <w:szCs w:val="31"/>
        </w:rPr>
        <w:t>（二）2017年改进措施</w:t>
      </w:r>
    </w:p>
    <w:p w14:paraId="5544F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Arial" w:eastAsia="仿宋_GB2312" w:cs="仿宋_GB2312"/>
          <w:sz w:val="31"/>
          <w:szCs w:val="31"/>
        </w:rPr>
        <w:t>一是拓展主动公开政府信息内容。围绕区核心工作，加大对街道重大建设项目、民生、环境保护、财政资金使用等重点领域的信息公开，充分发挥群众的监督作用，提升政府公信力。拓展公开渠道，进一步加强街道门户网站的建设，增加关注量和阅读量，让居民了解街道重点工作，提升群众参与度。</w:t>
      </w:r>
    </w:p>
    <w:p w14:paraId="364BD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Arial" w:eastAsia="仿宋_GB2312" w:cs="仿宋_GB2312"/>
          <w:sz w:val="31"/>
          <w:szCs w:val="31"/>
        </w:rPr>
        <w:t>二是完善政府信息和政务公开工作机制。充分发挥网格化模式在社会服务领域的作用，加大宣传力度，广泛吸引社会公众参与，充分发挥群众的监督作用，提升政府公信力。继续推进微博、微信、微视平台“三微”联动机制。</w:t>
      </w:r>
    </w:p>
    <w:p w14:paraId="23C6F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Arial" w:eastAsia="仿宋_GB2312" w:cs="仿宋_GB2312"/>
          <w:sz w:val="31"/>
          <w:szCs w:val="31"/>
        </w:rPr>
        <w:t>三是提高依法行政工作能力。进一步建立健全依申请公开接收、登记、办理、答复等环节的制度规范。加强对工作人员法律法规知识的培训，严格遵守法定程序，做到答复告知依法合规。进一步拓展依申请公开受理渠道，更好地发挥互联网的作用，为申请人提供便捷服务。及时梳理本单位依申请公开情况，加强对依申请公开典型案例的研讨与分析，不断提升工作水平。</w:t>
      </w:r>
    </w:p>
    <w:p w14:paraId="4675F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1"/>
          <w:szCs w:val="31"/>
        </w:rPr>
        <w:t>附表：政府信息公开情况统计表（2016年度）</w:t>
      </w:r>
    </w:p>
    <w:p w14:paraId="701FF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Arial" w:eastAsia="仿宋_GB2312" w:cs="仿宋_GB2312"/>
          <w:color w:val="000000"/>
          <w:sz w:val="31"/>
          <w:szCs w:val="31"/>
        </w:rPr>
        <w:t>                  北京市东城区人民政府东花市街道办事处</w:t>
      </w:r>
    </w:p>
    <w:p w14:paraId="61390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Arial" w:eastAsia="仿宋_GB2312" w:cs="仿宋_GB2312"/>
          <w:color w:val="000000"/>
          <w:sz w:val="31"/>
          <w:szCs w:val="31"/>
        </w:rPr>
        <w:t>                                2017年3月</w:t>
      </w:r>
    </w:p>
    <w:tbl>
      <w:tblPr>
        <w:tblStyle w:val="3"/>
        <w:tblW w:w="9555" w:type="dxa"/>
        <w:jc w:val="center"/>
        <w:shd w:val="clear" w:color="auto" w:fill="auto"/>
        <w:tblLayout w:type="fixed"/>
        <w:tblCellMar>
          <w:top w:w="15" w:type="dxa"/>
          <w:left w:w="15" w:type="dxa"/>
          <w:bottom w:w="15" w:type="dxa"/>
          <w:right w:w="15" w:type="dxa"/>
        </w:tblCellMar>
      </w:tblPr>
      <w:tblGrid>
        <w:gridCol w:w="7755"/>
        <w:gridCol w:w="720"/>
        <w:gridCol w:w="1080"/>
      </w:tblGrid>
      <w:tr w14:paraId="0437DEA7">
        <w:tblPrEx>
          <w:tblCellMar>
            <w:top w:w="15" w:type="dxa"/>
            <w:left w:w="15" w:type="dxa"/>
            <w:bottom w:w="15" w:type="dxa"/>
            <w:right w:w="15" w:type="dxa"/>
          </w:tblCellMar>
        </w:tblPrEx>
        <w:trPr>
          <w:trHeight w:val="540" w:hRule="atLeast"/>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tcPr>
          <w:p w14:paraId="4F1F1596">
            <w:pPr>
              <w:pStyle w:val="2"/>
              <w:keepNext w:val="0"/>
              <w:keepLines w:val="0"/>
              <w:widowControl/>
              <w:suppressLineNumbers w:val="0"/>
              <w:spacing w:before="0" w:beforeAutospacing="0" w:after="0" w:afterAutospacing="0"/>
              <w:ind w:left="0" w:right="0"/>
              <w:jc w:val="center"/>
            </w:pPr>
            <w:r>
              <w:rPr>
                <w:rFonts w:ascii="方正小标宋简体" w:hAnsi="方正小标宋简体" w:eastAsia="方正小标宋简体" w:cs="方正小标宋简体"/>
                <w:color w:val="000000"/>
                <w:sz w:val="43"/>
                <w:szCs w:val="43"/>
              </w:rPr>
              <w:t>政府信息公开情况统计表</w:t>
            </w:r>
          </w:p>
        </w:tc>
      </w:tr>
      <w:tr w14:paraId="6E96792B">
        <w:tblPrEx>
          <w:tblCellMar>
            <w:top w:w="15" w:type="dxa"/>
            <w:left w:w="15" w:type="dxa"/>
            <w:bottom w:w="15" w:type="dxa"/>
            <w:right w:w="15" w:type="dxa"/>
          </w:tblCellMar>
        </w:tblPrEx>
        <w:trPr>
          <w:trHeight w:val="285" w:hRule="atLeast"/>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tcPr>
          <w:p w14:paraId="595A29DE">
            <w:pPr>
              <w:pStyle w:val="2"/>
              <w:keepNext w:val="0"/>
              <w:keepLines w:val="0"/>
              <w:widowControl/>
              <w:suppressLineNumbers w:val="0"/>
              <w:spacing w:before="0" w:beforeAutospacing="0" w:after="0" w:afterAutospacing="0"/>
              <w:ind w:left="0" w:right="0"/>
              <w:jc w:val="center"/>
            </w:pPr>
            <w:r>
              <w:rPr>
                <w:rFonts w:hint="default" w:ascii="楷体_GB2312" w:hAnsi="Arial" w:eastAsia="楷体_GB2312" w:cs="楷体_GB2312"/>
                <w:sz w:val="31"/>
                <w:szCs w:val="31"/>
              </w:rPr>
              <w:t>（2016年度）</w:t>
            </w:r>
          </w:p>
        </w:tc>
      </w:tr>
      <w:tr w14:paraId="7194204B">
        <w:tblPrEx>
          <w:tblCellMar>
            <w:top w:w="15" w:type="dxa"/>
            <w:left w:w="15" w:type="dxa"/>
            <w:bottom w:w="15" w:type="dxa"/>
            <w:right w:w="15" w:type="dxa"/>
          </w:tblCellMar>
        </w:tblPrEx>
        <w:trPr>
          <w:trHeight w:val="405" w:hRule="atLeast"/>
          <w:jc w:val="center"/>
        </w:trPr>
        <w:tc>
          <w:tcPr>
            <w:tcW w:w="7755" w:type="dxa"/>
            <w:tcBorders>
              <w:top w:val="nil"/>
              <w:left w:val="nil"/>
              <w:bottom w:val="nil"/>
              <w:right w:val="nil"/>
            </w:tcBorders>
            <w:shd w:val="clear" w:color="auto" w:fill="auto"/>
            <w:tcMar>
              <w:top w:w="0" w:type="dxa"/>
              <w:left w:w="108" w:type="dxa"/>
              <w:bottom w:w="0" w:type="dxa"/>
              <w:right w:w="108" w:type="dxa"/>
            </w:tcMar>
            <w:vAlign w:val="center"/>
          </w:tcPr>
          <w:p w14:paraId="3584F0F1">
            <w:pPr>
              <w:rPr>
                <w:rFonts w:hint="default" w:ascii="Arial" w:hAnsi="Arial" w:cs="Arial"/>
                <w:sz w:val="21"/>
                <w:szCs w:val="21"/>
              </w:rPr>
            </w:pPr>
          </w:p>
        </w:tc>
        <w:tc>
          <w:tcPr>
            <w:tcW w:w="720" w:type="dxa"/>
            <w:tcBorders>
              <w:top w:val="nil"/>
              <w:left w:val="nil"/>
              <w:bottom w:val="nil"/>
              <w:right w:val="nil"/>
            </w:tcBorders>
            <w:shd w:val="clear" w:color="auto" w:fill="auto"/>
            <w:tcMar>
              <w:top w:w="0" w:type="dxa"/>
              <w:left w:w="108" w:type="dxa"/>
              <w:bottom w:w="0" w:type="dxa"/>
              <w:right w:w="108" w:type="dxa"/>
            </w:tcMar>
            <w:vAlign w:val="center"/>
          </w:tcPr>
          <w:p w14:paraId="4EF8FD8B">
            <w:pPr>
              <w:rPr>
                <w:rFonts w:hint="default" w:ascii="Arial" w:hAnsi="Arial" w:cs="Arial"/>
                <w:sz w:val="21"/>
                <w:szCs w:val="21"/>
              </w:rPr>
            </w:pPr>
          </w:p>
        </w:tc>
        <w:tc>
          <w:tcPr>
            <w:tcW w:w="1080" w:type="dxa"/>
            <w:tcBorders>
              <w:top w:val="nil"/>
              <w:left w:val="nil"/>
              <w:bottom w:val="nil"/>
              <w:right w:val="nil"/>
            </w:tcBorders>
            <w:shd w:val="clear" w:color="auto" w:fill="auto"/>
            <w:tcMar>
              <w:top w:w="0" w:type="dxa"/>
              <w:left w:w="108" w:type="dxa"/>
              <w:bottom w:w="0" w:type="dxa"/>
              <w:right w:w="108" w:type="dxa"/>
            </w:tcMar>
            <w:vAlign w:val="center"/>
          </w:tcPr>
          <w:p w14:paraId="7C865176">
            <w:pPr>
              <w:rPr>
                <w:rFonts w:hint="default" w:ascii="Arial" w:hAnsi="Arial" w:cs="Arial"/>
                <w:sz w:val="21"/>
                <w:szCs w:val="21"/>
              </w:rPr>
            </w:pPr>
          </w:p>
        </w:tc>
      </w:tr>
      <w:tr w14:paraId="7D635683">
        <w:tblPrEx>
          <w:shd w:val="clear" w:color="auto" w:fill="auto"/>
          <w:tblCellMar>
            <w:top w:w="15" w:type="dxa"/>
            <w:left w:w="15" w:type="dxa"/>
            <w:bottom w:w="15" w:type="dxa"/>
            <w:right w:w="15" w:type="dxa"/>
          </w:tblCellMar>
        </w:tblPrEx>
        <w:trPr>
          <w:trHeight w:val="300" w:hRule="atLeast"/>
          <w:jc w:val="center"/>
        </w:trPr>
        <w:tc>
          <w:tcPr>
            <w:tcW w:w="7755" w:type="dxa"/>
            <w:tcBorders>
              <w:top w:val="nil"/>
              <w:left w:val="nil"/>
              <w:bottom w:val="single" w:color="auto" w:sz="8" w:space="0"/>
              <w:right w:val="nil"/>
            </w:tcBorders>
            <w:shd w:val="clear" w:color="auto" w:fill="auto"/>
            <w:tcMar>
              <w:top w:w="0" w:type="dxa"/>
              <w:left w:w="108" w:type="dxa"/>
              <w:bottom w:w="0" w:type="dxa"/>
              <w:right w:w="108" w:type="dxa"/>
            </w:tcMar>
            <w:vAlign w:val="center"/>
          </w:tcPr>
          <w:p w14:paraId="082A2C54">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填报单位（盖章）：</w:t>
            </w:r>
          </w:p>
        </w:tc>
        <w:tc>
          <w:tcPr>
            <w:tcW w:w="720" w:type="dxa"/>
            <w:tcBorders>
              <w:top w:val="nil"/>
              <w:left w:val="nil"/>
              <w:bottom w:val="single" w:color="auto" w:sz="8" w:space="0"/>
              <w:right w:val="nil"/>
            </w:tcBorders>
            <w:shd w:val="clear" w:color="auto" w:fill="auto"/>
            <w:tcMar>
              <w:top w:w="0" w:type="dxa"/>
              <w:left w:w="108" w:type="dxa"/>
              <w:bottom w:w="0" w:type="dxa"/>
              <w:right w:w="108" w:type="dxa"/>
            </w:tcMar>
            <w:vAlign w:val="center"/>
          </w:tcPr>
          <w:p w14:paraId="56897212">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color w:val="000000"/>
                <w:sz w:val="24"/>
                <w:szCs w:val="24"/>
              </w:rPr>
              <w:t>　</w:t>
            </w:r>
          </w:p>
        </w:tc>
        <w:tc>
          <w:tcPr>
            <w:tcW w:w="1080" w:type="dxa"/>
            <w:tcBorders>
              <w:top w:val="nil"/>
              <w:left w:val="nil"/>
              <w:bottom w:val="single" w:color="auto" w:sz="8" w:space="0"/>
              <w:right w:val="nil"/>
            </w:tcBorders>
            <w:shd w:val="clear" w:color="auto" w:fill="auto"/>
            <w:tcMar>
              <w:top w:w="0" w:type="dxa"/>
              <w:left w:w="108" w:type="dxa"/>
              <w:bottom w:w="0" w:type="dxa"/>
              <w:right w:w="108" w:type="dxa"/>
            </w:tcMar>
            <w:vAlign w:val="center"/>
          </w:tcPr>
          <w:p w14:paraId="63D0644B">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color w:val="000000"/>
                <w:sz w:val="24"/>
                <w:szCs w:val="24"/>
              </w:rPr>
              <w:t>　</w:t>
            </w:r>
          </w:p>
        </w:tc>
      </w:tr>
      <w:tr w14:paraId="583BD07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A49258">
            <w:pPr>
              <w:pStyle w:val="2"/>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sz w:val="24"/>
                <w:szCs w:val="24"/>
              </w:rPr>
              <w:t>统 计 指 标</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85FFDC">
            <w:pPr>
              <w:pStyle w:val="2"/>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sz w:val="24"/>
                <w:szCs w:val="24"/>
              </w:rPr>
              <w:t>单位</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F7E102">
            <w:pPr>
              <w:pStyle w:val="2"/>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sz w:val="24"/>
                <w:szCs w:val="24"/>
              </w:rPr>
              <w:t>统计数</w:t>
            </w:r>
          </w:p>
        </w:tc>
      </w:tr>
      <w:tr w14:paraId="7A542C9E">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E74C11">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一、主动公开情况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6BBEBE">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2A3CC9">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4"/>
                <w:szCs w:val="24"/>
              </w:rPr>
              <w:t>　</w:t>
            </w:r>
          </w:p>
        </w:tc>
      </w:tr>
      <w:tr w14:paraId="794EF5AF">
        <w:tblPrEx>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F865C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（一）主动公开政府信息数       （不同渠道和方式公开相同信息计1条）</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9B734A">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A33833">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847</w:t>
            </w:r>
          </w:p>
        </w:tc>
      </w:tr>
      <w:tr w14:paraId="3730529C">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BBF7D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其中：主动公开规范性文件数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7F2846">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9552F8">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1E87B07C">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4D9EE6E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制发规范性文件总数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700A9F">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44999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6F85C88B">
        <w:tblPrEx>
          <w:shd w:val="clear" w:color="auto" w:fill="auto"/>
          <w:tblCellMar>
            <w:top w:w="15" w:type="dxa"/>
            <w:left w:w="15" w:type="dxa"/>
            <w:bottom w:w="15" w:type="dxa"/>
            <w:right w:w="15" w:type="dxa"/>
          </w:tblCellMar>
        </w:tblPrEx>
        <w:trPr>
          <w:trHeight w:val="660" w:hRule="atLeast"/>
          <w:jc w:val="center"/>
        </w:trPr>
        <w:tc>
          <w:tcPr>
            <w:tcW w:w="77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91608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（二）重点领域公开政府信息数       （不同渠道和方式公开相同信息计1条）</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4893BD">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DF02C3">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16</w:t>
            </w:r>
          </w:p>
        </w:tc>
      </w:tr>
      <w:tr w14:paraId="68D2EFE0">
        <w:tblPrEx>
          <w:tblCellMar>
            <w:top w:w="15" w:type="dxa"/>
            <w:left w:w="15" w:type="dxa"/>
            <w:bottom w:w="15" w:type="dxa"/>
            <w:right w:w="15" w:type="dxa"/>
          </w:tblCellMar>
        </w:tblPrEx>
        <w:trPr>
          <w:trHeight w:val="60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0BEF85">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其中：主动公开财政预算决算、“三公”经费</w:t>
            </w:r>
            <w:bookmarkStart w:id="0" w:name="_GoBack"/>
            <w:bookmarkEnd w:id="0"/>
            <w:r>
              <w:rPr>
                <w:rFonts w:hint="default" w:ascii="仿宋_GB2312" w:hAnsi="Arial" w:eastAsia="仿宋_GB2312" w:cs="仿宋_GB2312"/>
                <w:sz w:val="24"/>
                <w:szCs w:val="24"/>
              </w:rPr>
              <w:t>和行政经费信息数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A67FF4">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5FFD4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4</w:t>
            </w:r>
          </w:p>
        </w:tc>
      </w:tr>
      <w:tr w14:paraId="27E8BFCD">
        <w:tblPrEx>
          <w:shd w:val="clear" w:color="auto" w:fill="auto"/>
          <w:tblCellMar>
            <w:top w:w="15" w:type="dxa"/>
            <w:left w:w="15" w:type="dxa"/>
            <w:bottom w:w="15" w:type="dxa"/>
            <w:right w:w="15" w:type="dxa"/>
          </w:tblCellMar>
        </w:tblPrEx>
        <w:trPr>
          <w:trHeight w:val="64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F2E437">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主动公开保障性安居工程建设计划、项目开工和竣工情况，保障性住房的分配和退出等信息数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6EBA2A">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B3C19D">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5 </w:t>
            </w:r>
          </w:p>
        </w:tc>
      </w:tr>
      <w:tr w14:paraId="4BE232E0">
        <w:tblPrEx>
          <w:tblCellMar>
            <w:top w:w="15" w:type="dxa"/>
            <w:left w:w="15" w:type="dxa"/>
            <w:bottom w:w="15" w:type="dxa"/>
            <w:right w:w="15" w:type="dxa"/>
          </w:tblCellMar>
        </w:tblPrEx>
        <w:trPr>
          <w:trHeight w:val="57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8AE284">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主动公开食品安全标准，食品生产经营许可、专项检查整治等信息数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FD5072">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B0A557">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7 </w:t>
            </w:r>
          </w:p>
        </w:tc>
      </w:tr>
      <w:tr w14:paraId="7B799F6C">
        <w:tblPrEx>
          <w:shd w:val="clear" w:color="auto" w:fill="auto"/>
          <w:tblCellMar>
            <w:top w:w="15" w:type="dxa"/>
            <w:left w:w="15" w:type="dxa"/>
            <w:bottom w:w="15" w:type="dxa"/>
            <w:right w:w="15"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FE919A">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主动公开环境核查审批、环境状况公报和重特大突发环境事件等信息数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3D7706">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603D0F">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0 </w:t>
            </w:r>
          </w:p>
        </w:tc>
      </w:tr>
      <w:tr w14:paraId="1D4F3964">
        <w:tblPrEx>
          <w:tblCellMar>
            <w:top w:w="15" w:type="dxa"/>
            <w:left w:w="15" w:type="dxa"/>
            <w:bottom w:w="15" w:type="dxa"/>
            <w:right w:w="15" w:type="dxa"/>
          </w:tblCellMar>
        </w:tblPrEx>
        <w:trPr>
          <w:trHeight w:val="78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BE02B9">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主动公开招投标违法违规行为及处理情况、国有资金占控股或者主导地位依法应当招标的项目等信息数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B48230">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E8522C">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0 </w:t>
            </w:r>
          </w:p>
        </w:tc>
      </w:tr>
      <w:tr w14:paraId="5DFDC6E9">
        <w:tblPrEx>
          <w:tblCellMar>
            <w:top w:w="15" w:type="dxa"/>
            <w:left w:w="15" w:type="dxa"/>
            <w:bottom w:w="15" w:type="dxa"/>
            <w:right w:w="15" w:type="dxa"/>
          </w:tblCellMar>
        </w:tblPrEx>
        <w:trPr>
          <w:trHeight w:val="55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59852B">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主动公开生产安全事故的政府举措、处置进展、风险预警、防范措施等信息数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C50EA0">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9CFBB3">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0 </w:t>
            </w:r>
          </w:p>
        </w:tc>
      </w:tr>
      <w:tr w14:paraId="21DD0425">
        <w:tblPrEx>
          <w:shd w:val="clear" w:color="auto" w:fill="auto"/>
          <w:tblCellMar>
            <w:top w:w="15" w:type="dxa"/>
            <w:left w:w="15" w:type="dxa"/>
            <w:bottom w:w="15" w:type="dxa"/>
            <w:right w:w="15" w:type="dxa"/>
          </w:tblCellMar>
        </w:tblPrEx>
        <w:trPr>
          <w:trHeight w:val="69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0EB8D7">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主动公开农用地转为建设用地批准、征收集体土地批准、征地公告、征地补偿安置公示、集体土地征收结案等信息数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D9363E">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F6D845">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0 </w:t>
            </w:r>
          </w:p>
        </w:tc>
      </w:tr>
      <w:tr w14:paraId="594D9CAA">
        <w:tblPrEx>
          <w:shd w:val="clear" w:color="auto" w:fill="auto"/>
          <w:tblCellMar>
            <w:top w:w="15" w:type="dxa"/>
            <w:left w:w="15" w:type="dxa"/>
            <w:bottom w:w="15" w:type="dxa"/>
            <w:right w:w="15" w:type="dxa"/>
          </w:tblCellMar>
        </w:tblPrEx>
        <w:trPr>
          <w:trHeight w:val="72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0C1F93">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主动公开政府指导价、政府定价和收费标准调整的项目、价格、依据、执行时间和范围等信息数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00D377">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83E99E">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0 </w:t>
            </w:r>
          </w:p>
        </w:tc>
      </w:tr>
      <w:tr w14:paraId="1166D38B">
        <w:tblPrEx>
          <w:tblCellMar>
            <w:top w:w="15" w:type="dxa"/>
            <w:left w:w="15" w:type="dxa"/>
            <w:bottom w:w="15" w:type="dxa"/>
            <w:right w:w="15" w:type="dxa"/>
          </w:tblCellMar>
        </w:tblPrEx>
        <w:trPr>
          <w:trHeight w:val="52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FB668C">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主动公开本市企业信用信息系统中的警示信息和良好信息等信息数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686ABA">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04E27E">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0 </w:t>
            </w:r>
          </w:p>
        </w:tc>
      </w:tr>
      <w:tr w14:paraId="61787283">
        <w:tblPrEx>
          <w:shd w:val="clear" w:color="auto" w:fill="auto"/>
          <w:tblCellMar>
            <w:top w:w="15" w:type="dxa"/>
            <w:left w:w="15" w:type="dxa"/>
            <w:bottom w:w="15" w:type="dxa"/>
            <w:right w:w="15"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BE4E6A">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主动公开政府部门预算执行审计结果等信息数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C0D7D7">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17D0B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1141F232">
        <w:tblPrEx>
          <w:shd w:val="clear" w:color="auto" w:fill="auto"/>
          <w:tblCellMar>
            <w:top w:w="15" w:type="dxa"/>
            <w:left w:w="15" w:type="dxa"/>
            <w:bottom w:w="15" w:type="dxa"/>
            <w:right w:w="15" w:type="dxa"/>
          </w:tblCellMar>
        </w:tblPrEx>
        <w:trPr>
          <w:trHeight w:val="67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31660">
            <w:pPr>
              <w:pStyle w:val="2"/>
              <w:keepNext w:val="0"/>
              <w:keepLines w:val="0"/>
              <w:widowControl/>
              <w:suppressLineNumbers w:val="0"/>
              <w:spacing w:before="0" w:beforeAutospacing="0" w:after="0" w:afterAutospacing="0"/>
              <w:ind w:left="1680" w:right="0" w:hanging="1680"/>
              <w:jc w:val="left"/>
            </w:pPr>
            <w:r>
              <w:rPr>
                <w:rFonts w:hint="default" w:ascii="仿宋_GB2312" w:hAnsi="Arial" w:eastAsia="仿宋_GB2312" w:cs="仿宋_GB2312"/>
                <w:sz w:val="24"/>
                <w:szCs w:val="24"/>
              </w:rPr>
              <w:t>              主动公开行政机关对与人民群众利益密切相关的公共企事业单位进行监督管理的信息数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1F63B9">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CB074C">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0 </w:t>
            </w:r>
          </w:p>
        </w:tc>
      </w:tr>
      <w:tr w14:paraId="46189FED">
        <w:tblPrEx>
          <w:shd w:val="clear" w:color="auto" w:fill="auto"/>
          <w:tblCellMar>
            <w:top w:w="15" w:type="dxa"/>
            <w:left w:w="15" w:type="dxa"/>
            <w:bottom w:w="15" w:type="dxa"/>
            <w:right w:w="15" w:type="dxa"/>
          </w:tblCellMar>
        </w:tblPrEx>
        <w:trPr>
          <w:trHeight w:val="40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BD407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主动公开市人民政府决定主动公开的其他信息数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9A1FE7">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08B48F">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xml:space="preserve">0 </w:t>
            </w:r>
          </w:p>
        </w:tc>
      </w:tr>
      <w:tr w14:paraId="60628C2F">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C27B18">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（三）通过不同渠道和方式公开政府信息的情况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41E685">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117CC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w:t>
            </w:r>
          </w:p>
        </w:tc>
      </w:tr>
      <w:tr w14:paraId="512B59E8">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C1350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1.政府公报公开政府信息数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38126D">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4305C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7B193CFB">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F1824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2.政府网站公开政府信息数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E48FE5">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17411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315</w:t>
            </w:r>
          </w:p>
        </w:tc>
      </w:tr>
      <w:tr w14:paraId="484F85D6">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51524D">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3.政务微博公开政府信息数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069130">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EFFF9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4378</w:t>
            </w:r>
          </w:p>
        </w:tc>
      </w:tr>
      <w:tr w14:paraId="2C60705D">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294FF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4.政务微信公开政府信息数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B7233E">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75AB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150</w:t>
            </w:r>
          </w:p>
        </w:tc>
      </w:tr>
      <w:tr w14:paraId="560B09CA">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D3AE1A">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5.其他方式公开政府信息数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7DE9C7">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CF3EB4">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36</w:t>
            </w:r>
          </w:p>
        </w:tc>
      </w:tr>
      <w:tr w14:paraId="20BF6F05">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0F1BCA">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二、回应解读情况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EA1AC3">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4"/>
                <w:szCs w:val="24"/>
              </w:rPr>
              <w:t>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F62A37">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4"/>
                <w:szCs w:val="24"/>
              </w:rPr>
              <w:t>　</w:t>
            </w:r>
          </w:p>
        </w:tc>
      </w:tr>
      <w:tr w14:paraId="54481C03">
        <w:tblPrEx>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6E05A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（一）回应公众关注热点或重大舆情数         （不同方式回应同一热点或舆情计1次）</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782D19">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C9430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2</w:t>
            </w:r>
          </w:p>
        </w:tc>
      </w:tr>
      <w:tr w14:paraId="23281DD6">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5ADA8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（二）通过不同渠道和方式回应解读的情况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8D3614">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D1868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w:t>
            </w:r>
          </w:p>
        </w:tc>
      </w:tr>
      <w:tr w14:paraId="49600EA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2B0A0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1.参加或举办新闻发布会总次数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235E27">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9F3857">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3875E637">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D5AE48">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其中：主要负责同志参加新闻发布会次数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47C191">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B2CB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5A1EC4D6">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EB3607">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2.政府网站在线访谈次数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85C404">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0FF76B">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4AF59C4D">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3780A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其中：主要负责同志参加政府网站在线访谈次数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3EBE9C">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3685FD">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1CAFFA19">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D99D9B">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3.政策解读稿件发布数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5C4665">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篇</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489B8C">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79685427">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70DB9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4.微博微信回应事件数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5E200B">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FCE8E2">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037E9EE0">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727D0B">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5.其他方式回应事件数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6A5DC9">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7C2E0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7E84663B">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495C8D">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三、依申请公开情况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0D095A">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4"/>
                <w:szCs w:val="24"/>
              </w:rPr>
              <w:t>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B9BE20">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4"/>
                <w:szCs w:val="24"/>
              </w:rPr>
              <w:t>　</w:t>
            </w:r>
          </w:p>
        </w:tc>
      </w:tr>
      <w:tr w14:paraId="75348360">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F7F23D">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（一）收到申请数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679DA4">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EE3B84">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38A64058">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4BFCDA">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1.当面申请数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27D3BE">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051322">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62585E76">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04F66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2.传真申请数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133C7A">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4DFDA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16D72FFA">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16F673">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3.网络申请数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81CF8A">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6879C8">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3E8793DC">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42300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4.信函申请数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76DC35">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68464A">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078D1B70">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0DDA3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（二）申请办结数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C80F3F">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865034">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66A6D8F9">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EA7DF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1.按时办结数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287B01">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057FD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43B2EA34">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F12C4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2.延期办结数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32145E">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44CEED">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4CD54805">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37C2C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（三）申请答复数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ABAF5">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D780B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746083E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8CAD8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1.属于已主动公开范围数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E5214A">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01839C">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31B1AEB8">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91B9AB">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2.同意公开答复数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67F343">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58B45C">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0672992C">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9FA3B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3.同意部分公开答复数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C7680E">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FBC9AD">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09369FB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75726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4.不同意公开答复数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877D47">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628EF8">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0244EE08">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28815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其中：涉及国家秘密</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4237DF">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0444CD">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395919D6">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8D77C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涉及商业秘密</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99998E">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85863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2B3661E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7975B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涉及个人隐私</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A48A6D">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55DBFA">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72C73E4D">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06272F">
            <w:pPr>
              <w:pStyle w:val="2"/>
              <w:keepNext w:val="0"/>
              <w:keepLines w:val="0"/>
              <w:widowControl/>
              <w:suppressLineNumbers w:val="0"/>
              <w:spacing w:before="0" w:beforeAutospacing="0" w:after="0" w:afterAutospacing="0"/>
              <w:ind w:left="2400" w:right="0" w:hanging="2400"/>
              <w:jc w:val="left"/>
            </w:pPr>
            <w:r>
              <w:rPr>
                <w:rFonts w:hint="default" w:ascii="仿宋_GB2312" w:hAnsi="Arial" w:eastAsia="仿宋_GB2312" w:cs="仿宋_GB2312"/>
                <w:sz w:val="24"/>
                <w:szCs w:val="24"/>
              </w:rPr>
              <w:t>          危及国家安全、公共安全、经济安全和社会稳定</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2AD3A9">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E7C3F2">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253501F5">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AA33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不是《条例》所指政府信息</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952869">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4C5AD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6C3A0EAB">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12FFC7">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法律法规规定的其他情形</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C94CB2">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F28B5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13F1DE8A">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7B2C0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5.不属于本行政机关公开数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D5138D">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41F94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551E5D3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08714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6.申请信息不存在数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24D17A">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C1028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2A37C15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0136E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7.告知作出更改补充数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BBA4AF">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12775A">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265ADDE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CCE5E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8.告知通过其他途径办理数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BB2188">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5A378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6EF7E2C0">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308424">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四、行政复议数量</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3F3BAD">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72B26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6F32427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417FE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（一）维持具体行政行为数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8CC652">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98ADEB">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3AC1B7F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DAE48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（二）被依法纠错数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C8C321">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6CA84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288E03B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6726A6">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（三）其他情形数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1C0231">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AE807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1F930B51">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7E3A37">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五、行政诉讼数量</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C65A5F">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A2350B">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710ADD30">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9B0D6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（一）维持具体行政行为或者驳回原告诉讼请求数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6B7A67">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5DEFE3">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2026B1E6">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5B957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（二）被依法纠错数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010EF0">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EFB99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05F3FF6F">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5F475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（三）其他情形数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B03E10">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610C6C">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693094D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D8B166">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六、举报投诉数量</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4BBE94">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BE8CD4">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3DCECF4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9D1C94">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七、依申请公开信息收取的费用</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D45E8">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4"/>
                <w:szCs w:val="24"/>
              </w:rPr>
              <w:t>万元</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613C44">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20C9E4E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422162">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八、机构建设和保障经费情况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C74D24">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4"/>
                <w:szCs w:val="24"/>
              </w:rPr>
              <w:t>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4A0B6F">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4"/>
                <w:szCs w:val="24"/>
              </w:rPr>
              <w:t>　</w:t>
            </w:r>
          </w:p>
        </w:tc>
      </w:tr>
      <w:tr w14:paraId="1F1869DB">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CED1EB">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（一）政府信息公开工作专门机构数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D4C721">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个</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03A7F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1</w:t>
            </w:r>
          </w:p>
        </w:tc>
      </w:tr>
      <w:tr w14:paraId="2534A1DC">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456CD7">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（二）设置政府信息公开查阅点数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5E16A8">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个</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CBA38D">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1</w:t>
            </w:r>
          </w:p>
        </w:tc>
      </w:tr>
      <w:tr w14:paraId="2498F02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42F33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（三）从事政府信息公开工作人员数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9FCFC">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2F8668">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1</w:t>
            </w:r>
          </w:p>
        </w:tc>
      </w:tr>
      <w:tr w14:paraId="1115E204">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296C0E">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1.专职人员数（不包括政府公报及政府网站工作人员数）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A4D611">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4EC70D">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5B4B1E4D">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AD2298">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2.兼职人员数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2412C0">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F01BB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1</w:t>
            </w:r>
          </w:p>
        </w:tc>
      </w:tr>
      <w:tr w14:paraId="769931D2">
        <w:tblPrEx>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DFA74A">
            <w:pPr>
              <w:pStyle w:val="2"/>
              <w:keepNext w:val="0"/>
              <w:keepLines w:val="0"/>
              <w:widowControl/>
              <w:suppressLineNumbers w:val="0"/>
              <w:spacing w:before="0" w:beforeAutospacing="0" w:after="0" w:afterAutospacing="0"/>
              <w:ind w:left="960" w:right="0" w:hanging="960"/>
              <w:jc w:val="left"/>
            </w:pPr>
            <w:r>
              <w:rPr>
                <w:rFonts w:hint="default" w:ascii="仿宋_GB2312" w:hAnsi="Arial" w:eastAsia="仿宋_GB2312" w:cs="仿宋_GB2312"/>
                <w:sz w:val="24"/>
                <w:szCs w:val="24"/>
              </w:rPr>
              <w:t>  （四）政府信息公开专项经费（不包括用于政府公报编辑管理及政府网站建设维护等方面的经费）</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46470F">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万元</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356A45">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0</w:t>
            </w:r>
          </w:p>
        </w:tc>
      </w:tr>
      <w:tr w14:paraId="79AC04AC">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B70B00">
            <w:pPr>
              <w:pStyle w:val="2"/>
              <w:keepNext w:val="0"/>
              <w:keepLines w:val="0"/>
              <w:widowControl/>
              <w:suppressLineNumbers w:val="0"/>
              <w:spacing w:before="0" w:beforeAutospacing="0" w:after="0" w:afterAutospacing="0"/>
              <w:ind w:left="0" w:right="0"/>
              <w:jc w:val="left"/>
            </w:pPr>
            <w:r>
              <w:rPr>
                <w:rFonts w:hint="eastAsia" w:ascii="黑体" w:hAnsi="宋体" w:eastAsia="黑体" w:cs="黑体"/>
                <w:color w:val="000000"/>
                <w:sz w:val="24"/>
                <w:szCs w:val="24"/>
              </w:rPr>
              <w:t>九、政府信息公开会议和培训情况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6CB6AB">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F6A5A3">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24"/>
                <w:szCs w:val="24"/>
              </w:rPr>
              <w:t>　</w:t>
            </w:r>
          </w:p>
        </w:tc>
      </w:tr>
      <w:tr w14:paraId="2D29A1B6">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44266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（一）召开政府信息公开工作会议或专题会议数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E8281D">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1440F9">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3</w:t>
            </w:r>
          </w:p>
        </w:tc>
      </w:tr>
      <w:tr w14:paraId="6D5BC9C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97625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（二）举办各类培训班数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0DBA68">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FD6C43">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2</w:t>
            </w:r>
          </w:p>
        </w:tc>
      </w:tr>
      <w:tr w14:paraId="408CC2A9">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3B53AF">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  （三）接受培训人员数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0BABA6">
            <w:pPr>
              <w:pStyle w:val="2"/>
              <w:keepNext w:val="0"/>
              <w:keepLines w:val="0"/>
              <w:widowControl/>
              <w:suppressLineNumbers w:val="0"/>
              <w:spacing w:before="0" w:beforeAutospacing="0" w:after="0" w:afterAutospacing="0"/>
              <w:ind w:left="0" w:right="0"/>
              <w:jc w:val="center"/>
            </w:pPr>
            <w:r>
              <w:rPr>
                <w:rFonts w:hint="default" w:ascii="仿宋_GB2312" w:hAnsi="Arial" w:eastAsia="仿宋_GB2312" w:cs="仿宋_GB2312"/>
                <w:sz w:val="24"/>
                <w:szCs w:val="24"/>
              </w:rPr>
              <w:t>人次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84DEB1">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50</w:t>
            </w:r>
          </w:p>
        </w:tc>
      </w:tr>
      <w:tr w14:paraId="339BFAAA">
        <w:tblPrEx>
          <w:shd w:val="clear" w:color="auto" w:fill="auto"/>
          <w:tblCellMar>
            <w:top w:w="15" w:type="dxa"/>
            <w:left w:w="15" w:type="dxa"/>
            <w:bottom w:w="15" w:type="dxa"/>
            <w:right w:w="15" w:type="dxa"/>
          </w:tblCellMar>
        </w:tblPrEx>
        <w:trPr>
          <w:trHeight w:val="402" w:hRule="atLeast"/>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tcPr>
          <w:p w14:paraId="07D02423">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单位负责人：                    审核人：                       填报人：</w:t>
            </w:r>
          </w:p>
        </w:tc>
      </w:tr>
      <w:tr w14:paraId="0552244E">
        <w:tblPrEx>
          <w:tblCellMar>
            <w:top w:w="15" w:type="dxa"/>
            <w:left w:w="15" w:type="dxa"/>
            <w:bottom w:w="15" w:type="dxa"/>
            <w:right w:w="15" w:type="dxa"/>
          </w:tblCellMar>
        </w:tblPrEx>
        <w:trPr>
          <w:trHeight w:val="402" w:hRule="atLeast"/>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tcPr>
          <w:p w14:paraId="6CC78240">
            <w:pPr>
              <w:pStyle w:val="2"/>
              <w:keepNext w:val="0"/>
              <w:keepLines w:val="0"/>
              <w:widowControl/>
              <w:suppressLineNumbers w:val="0"/>
              <w:spacing w:before="0" w:beforeAutospacing="0" w:after="0" w:afterAutospacing="0"/>
              <w:ind w:left="0" w:right="0"/>
              <w:jc w:val="left"/>
            </w:pPr>
            <w:r>
              <w:rPr>
                <w:rFonts w:hint="default" w:ascii="仿宋_GB2312" w:hAnsi="Arial" w:eastAsia="仿宋_GB2312" w:cs="仿宋_GB2312"/>
                <w:sz w:val="24"/>
                <w:szCs w:val="24"/>
              </w:rPr>
              <w:t>联系电话：                                                     填报日期：</w:t>
            </w:r>
          </w:p>
        </w:tc>
      </w:tr>
    </w:tbl>
    <w:p w14:paraId="1B7CE6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323FD3-15CB-4C94-9042-A01B20C15C4A}"/>
  </w:font>
  <w:font w:name="黑体">
    <w:panose1 w:val="02010609060101010101"/>
    <w:charset w:val="86"/>
    <w:family w:val="auto"/>
    <w:pitch w:val="default"/>
    <w:sig w:usb0="800002BF" w:usb1="38CF7CFA" w:usb2="00000016" w:usb3="00000000" w:csb0="00040001" w:csb1="00000000"/>
    <w:embedRegular r:id="rId2" w:fontKey="{22329B7B-D2A5-49D1-AE84-D0BFD59D58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EDBA2D41-0754-4949-86BB-0462132F387D}"/>
  </w:font>
  <w:font w:name="楷体_GB2312">
    <w:altName w:val="楷体"/>
    <w:panose1 w:val="00000000000000000000"/>
    <w:charset w:val="00"/>
    <w:family w:val="auto"/>
    <w:pitch w:val="default"/>
    <w:sig w:usb0="00000000" w:usb1="00000000" w:usb2="00000000" w:usb3="00000000" w:csb0="00000000" w:csb1="00000000"/>
    <w:embedRegular r:id="rId4" w:fontKey="{7D204488-C83D-404D-A06E-517E26A631DA}"/>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1F83D7B5-7E8C-4F42-BEA0-38A14C241FD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4A9D"/>
    <w:rsid w:val="60FA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2899</Words>
  <Characters>3005</Characters>
  <Lines>0</Lines>
  <Paragraphs>0</Paragraphs>
  <TotalTime>0</TotalTime>
  <ScaleCrop>false</ScaleCrop>
  <LinksUpToDate>false</LinksUpToDate>
  <CharactersWithSpaces>3057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c:creator>
  <cp:lastModifiedBy> 祺</cp:lastModifiedBy>
  <dcterms:modified xsi:type="dcterms:W3CDTF">2025-03-24T02:56:13Z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A1CD78C98AC944608342D9C9C6E69A4A_12</vt:lpwstr>
  </property>
</Properties>
</file>