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仿宋_GB2312" w:hAnsi="Arial" w:eastAsia="仿宋_GB2312" w:cs="仿宋_GB2312"/>
          <w:sz w:val="31"/>
          <w:szCs w:val="31"/>
        </w:rPr>
        <w:t>本报告是根据《中华人民共和国政府信息公开条例》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（</w:t>
      </w:r>
      <w:r>
        <w:rPr>
          <w:rFonts w:hint="default" w:ascii="仿宋_GB2312" w:hAnsi="Arial" w:eastAsia="仿宋_GB2312" w:cs="仿宋_GB2312"/>
          <w:sz w:val="31"/>
          <w:szCs w:val="31"/>
        </w:rPr>
        <w:t>以下简称《条例》）要求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，由北京市东城区东花市街道办事处编制的2015年度政府信息公开年度报告。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600" w:lineRule="atLeast"/>
        <w:ind w:left="0" w:right="0" w:firstLine="3200"/>
        <w:jc w:val="left"/>
      </w:pPr>
      <w:r>
        <w:rPr>
          <w:rFonts w:ascii="黑体" w:hAnsi="宋体" w:eastAsia="黑体" w:cs="黑体"/>
          <w:color w:val="00000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2015年，东花市街道根据《条例》要求开展政府信息公开工作，办事处办公室为全街道政府信息公开工作主管部门。目前，街道专门配备了1名兼职工作人员，在政务大厅设立了1个专门的信息申请受理点，并开辟了公共查阅点。截至2015年底，我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2015年是《政府信息公开条例》实施的第七年，东花市街道按照东城区政府信息公开办公室的安排部署，扎实推进信息公开，按照“以公开为原则，以不公开为例外”的工作要求，依法及时公开各类信息，认真完成政府信息公开的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</w:pPr>
      <w:r>
        <w:rPr>
          <w:rFonts w:ascii="楷体_GB2312" w:hAnsi="Arial" w:eastAsia="楷体_GB2312" w:cs="楷体_GB2312"/>
          <w:b/>
          <w:color w:val="000000"/>
          <w:sz w:val="31"/>
          <w:szCs w:val="31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本单位年共主动公开政府信息228条，其中全文电子化率达100%。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在主动公开的信息中，机构职能类信息0条，占总体的比例为0；法规文件类信息3条，占总体的比例为1.31%；规划计划类信息4条，其中包括未来的工作规划计划等内容，占总体的比例为1.75%；行政职责类信息3条，占总体的比例为1.31%；业务动态类信息218条，主要包括本单位近期的工作内容，占总体的比例为95.61%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另外，本单位在街道门户网站上对外公开的业务动态类信息为98条，其中全文电子化率达100%。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</w:pPr>
      <w:r>
        <w:rPr>
          <w:rFonts w:hint="default" w:ascii="楷体_GB2312" w:hAnsi="Arial" w:eastAsia="楷体_GB2312" w:cs="楷体_GB2312"/>
          <w:b/>
          <w:color w:val="000000"/>
          <w:sz w:val="31"/>
          <w:szCs w:val="31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在政府信息公开的载体选择上，本单位根据公开的内容和类别，分别采取了东城区行政服务大厅设立政府信息公开处、本单位办公网站、电子触摸屏、便民资料自由索取处等公开载体，切实方便</w:t>
      </w:r>
      <w:r>
        <w:rPr>
          <w:rFonts w:hint="default" w:ascii="仿宋_GB2312" w:hAnsi="Arial" w:eastAsia="仿宋_GB2312" w:cs="仿宋_GB2312"/>
          <w:sz w:val="31"/>
          <w:szCs w:val="31"/>
        </w:rPr>
        <w:t>群众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了解信息</w:t>
      </w:r>
      <w:r>
        <w:rPr>
          <w:rFonts w:hint="default" w:ascii="仿宋_GB2312" w:hAnsi="Arial" w:eastAsia="仿宋_GB2312" w:cs="仿宋_GB2312"/>
          <w:sz w:val="31"/>
          <w:szCs w:val="31"/>
        </w:rPr>
        <w:t>，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使咨询人可以根据自己的情况选择最佳的方式进行信息的查询。在便民服务上，我们为方便咨询人查阅，进行了主动公开信息的检索目录编制工作。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60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</w:pPr>
      <w:r>
        <w:rPr>
          <w:rFonts w:hint="default" w:ascii="楷体_GB2312" w:hAnsi="Arial" w:eastAsia="楷体_GB2312" w:cs="楷体_GB2312"/>
          <w:b/>
          <w:color w:val="000000"/>
          <w:sz w:val="31"/>
          <w:szCs w:val="31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本单位年度共收到政府信息公开申请0件。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</w:pPr>
      <w:r>
        <w:rPr>
          <w:rFonts w:hint="default" w:ascii="楷体_GB2312" w:hAnsi="Arial" w:eastAsia="楷体_GB2312" w:cs="楷体_GB2312"/>
          <w:b/>
          <w:color w:val="000000"/>
          <w:sz w:val="31"/>
          <w:szCs w:val="31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</w:pPr>
      <w:r>
        <w:rPr>
          <w:rFonts w:hint="default" w:ascii="楷体_GB2312" w:hAnsi="Arial" w:eastAsia="楷体_GB2312" w:cs="楷体_GB2312"/>
          <w:b/>
          <w:color w:val="000000"/>
          <w:sz w:val="31"/>
          <w:szCs w:val="31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2015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60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四、复议和诉讼情况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sz w:val="31"/>
          <w:szCs w:val="31"/>
        </w:rPr>
        <w:t>2015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 xml:space="preserve">年，针对本单位政府信息公开的行政复议申请0件，针对本单位政府信息公开的行政诉讼案0件，针对本单位政府信息公开的申诉案0件。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60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2015年，我街道在政府信息公开工作方面存在的主要问题是：一是受人员编制所限，从事政府信息公开具体工作的为兼职人员，在及时发布政务信息上还有所欠缺；二是开展信息公开宣传教育培训力度有待加强。针对存在问题和不足，我街道将采取以下措施加以改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一、深化政府信息公开内容。依法重点推进与社会发展和群众生活密切相关的政府信息公开，以社会关注度高、公共利益大的政务信息作为突破口，进一步规范做好政府信息公开工作。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二、统一认识，努力规范工作流程。加强政府信息公开业务学习和培训，进一步梳理本单位掌握的政府信息，及时提供，定期维护，确保政府信息公开工作能按照既定的工作流程有效运作，方便公众查询，不断提升政府信息公开整体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Arial" w:eastAsia="仿宋_GB2312" w:cs="仿宋_GB2312"/>
          <w:color w:val="000000"/>
          <w:sz w:val="31"/>
          <w:szCs w:val="31"/>
        </w:rPr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三、落实好政府信息公开各项保障措施，进一步加强政府信息公开的监督、检查及考核工作。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Arial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 xml:space="preserve">                  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 xml:space="preserve">       </w:t>
      </w: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北京市东城区人民政府东花市街道办事处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                              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仿宋_GB2312" w:hAnsi="Arial" w:eastAsia="仿宋_GB2312" w:cs="仿宋_GB2312"/>
          <w:color w:val="000000"/>
          <w:sz w:val="31"/>
          <w:szCs w:val="31"/>
        </w:rPr>
        <w:t> 2016年3月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2E72"/>
    <w:rsid w:val="136E6AE7"/>
    <w:rsid w:val="15860837"/>
    <w:rsid w:val="1B9116A5"/>
    <w:rsid w:val="2EF97492"/>
    <w:rsid w:val="2FBB2851"/>
    <w:rsid w:val="30AF3793"/>
    <w:rsid w:val="36AF5884"/>
    <w:rsid w:val="39CC3FB6"/>
    <w:rsid w:val="4D9E4FF2"/>
    <w:rsid w:val="4DAD2FA0"/>
    <w:rsid w:val="4E0A46AB"/>
    <w:rsid w:val="5C84661B"/>
    <w:rsid w:val="629E1A9A"/>
    <w:rsid w:val="76154AF7"/>
    <w:rsid w:val="7EB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刘婷婷</cp:lastModifiedBy>
  <dcterms:modified xsi:type="dcterms:W3CDTF">2020-12-18T07:05:22Z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