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C9F3"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21"/>
        </w:rPr>
      </w:pPr>
      <w:bookmarkStart w:id="0" w:name="_GoBack"/>
      <w:r>
        <w:rPr>
          <w:rFonts w:hint="eastAsia" w:ascii="方正小标宋简体" w:hAnsi="Arial" w:eastAsia="方正小标宋简体" w:cs="Arial"/>
          <w:bCs/>
          <w:sz w:val="44"/>
          <w:szCs w:val="21"/>
        </w:rPr>
        <w:t>北京市东城区行政服务中心</w:t>
      </w:r>
    </w:p>
    <w:p w14:paraId="67557049">
      <w:pPr>
        <w:spacing w:line="560" w:lineRule="exact"/>
        <w:jc w:val="center"/>
        <w:rPr>
          <w:rFonts w:ascii="方正小标宋简体" w:hAnsi="Arial" w:eastAsia="方正小标宋简体" w:cs="Arial"/>
          <w:bCs/>
          <w:sz w:val="44"/>
          <w:szCs w:val="21"/>
        </w:rPr>
      </w:pPr>
      <w:r>
        <w:rPr>
          <w:rFonts w:hint="eastAsia" w:ascii="方正小标宋简体" w:hAnsi="Arial" w:eastAsia="方正小标宋简体" w:cs="Arial"/>
          <w:bCs/>
          <w:sz w:val="44"/>
          <w:szCs w:val="21"/>
        </w:rPr>
        <w:t>2014年政府信息公开工作年度报告</w:t>
      </w:r>
    </w:p>
    <w:p w14:paraId="4F2EF285">
      <w:pPr>
        <w:spacing w:line="560" w:lineRule="exact"/>
        <w:jc w:val="center"/>
        <w:rPr>
          <w:rFonts w:ascii="方正小标宋简体" w:eastAsia="方正小标宋简体"/>
          <w:sz w:val="72"/>
        </w:rPr>
      </w:pPr>
    </w:p>
    <w:p w14:paraId="7605BD9B">
      <w:pPr>
        <w:widowControl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本报告根据《中华人民共和国政府信息公开条例》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（</w:t>
      </w:r>
      <w:r>
        <w:rPr>
          <w:rFonts w:hint="eastAsia" w:ascii="仿宋_GB2312" w:hAnsi="宋体" w:eastAsia="仿宋_GB2312"/>
          <w:kern w:val="0"/>
          <w:sz w:val="32"/>
        </w:rPr>
        <w:t>以下简称《条例》）</w:t>
      </w:r>
      <w:r>
        <w:rPr>
          <w:rFonts w:hint="eastAsia" w:ascii="仿宋_GB2312" w:hAnsi="宋体" w:eastAsia="仿宋_GB2312"/>
          <w:sz w:val="32"/>
          <w:szCs w:val="32"/>
        </w:rPr>
        <w:t>要求，由北京市东城区行政服务中心（以下简称中心）编制。</w:t>
      </w:r>
    </w:p>
    <w:p w14:paraId="34073A74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 w14:paraId="7018F755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15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本报告中所列数据的统计期限自2014年1月1日起，至2014年12月31日止。本报告的电子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版可在“首都之窗”门户网站</w:t>
      </w:r>
      <w:r>
        <w:rPr>
          <w:rFonts w:hint="eastAsia" w:ascii="仿宋_GB2312" w:hAnsi="宋体" w:eastAsia="仿宋_GB2312" w:cs="宋体"/>
          <w:spacing w:val="-12"/>
          <w:kern w:val="15"/>
          <w:sz w:val="32"/>
          <w:szCs w:val="32"/>
        </w:rPr>
        <w:t>（http://www.beijing.gov.cn/）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下载。由于篇幅所限，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如对报告有任何疑问，请与北京市东城区行政服务中心办公室联系（地址:北京市东城区金宝街52号东城区行政服务中心；邮编：100005；</w:t>
      </w:r>
      <w:r>
        <w:rPr>
          <w:rFonts w:hint="eastAsia" w:ascii="仿宋_GB2312" w:hAnsi="宋体" w:eastAsia="仿宋_GB2312" w:cs="宋体"/>
          <w:spacing w:val="-12"/>
          <w:kern w:val="15"/>
          <w:sz w:val="32"/>
          <w:szCs w:val="32"/>
        </w:rPr>
        <w:t>联系电话：010-65594781）。</w:t>
      </w:r>
    </w:p>
    <w:p w14:paraId="7BB296E6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</w:p>
    <w:p w14:paraId="581F04C8">
      <w:pPr>
        <w:spacing w:line="56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一、概述</w:t>
      </w:r>
    </w:p>
    <w:p w14:paraId="73BC43F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2014年，</w:t>
      </w:r>
      <w:r>
        <w:rPr>
          <w:rFonts w:hint="eastAsia" w:ascii="仿宋_GB2312" w:hAnsi="宋体" w:eastAsia="仿宋_GB2312"/>
          <w:kern w:val="0"/>
          <w:sz w:val="32"/>
        </w:rPr>
        <w:t>中</w:t>
      </w:r>
      <w:r>
        <w:rPr>
          <w:rFonts w:hint="eastAsia" w:ascii="仿宋_GB2312" w:hAnsi="华文中宋" w:eastAsia="仿宋_GB2312"/>
          <w:sz w:val="32"/>
          <w:szCs w:val="32"/>
        </w:rPr>
        <w:t>心按照市、区政府统一部署，</w:t>
      </w:r>
      <w:r>
        <w:rPr>
          <w:rFonts w:hint="eastAsia" w:ascii="仿宋_GB2312" w:eastAsia="仿宋_GB2312"/>
          <w:sz w:val="32"/>
        </w:rPr>
        <w:t>认真学习中央、市区关于政府信息公开的新要求、新指示，紧密结合政务服务工作实际，不断加强政府信息公开基础管理工作，完善政府信息公开工作运行机制，创新政府信息公开形式。修订完善《东城区行政服务中心政府信息公开指南》，及时更新《东城区行政服务中心</w:t>
      </w:r>
      <w:r>
        <w:rPr>
          <w:rFonts w:ascii="仿宋_GB2312" w:eastAsia="仿宋_GB2312"/>
          <w:sz w:val="32"/>
        </w:rPr>
        <w:t>政府信息公开保密审查办法</w:t>
      </w:r>
      <w:r>
        <w:rPr>
          <w:rFonts w:hint="eastAsia" w:ascii="仿宋_GB2312" w:eastAsia="仿宋_GB2312"/>
          <w:sz w:val="32"/>
        </w:rPr>
        <w:t>》，对主动公开和依申请公开政府信息的范围、方式和程序作了明确和细化，对依申请公开的受理机构、申请步骤、答复期限等各个环节作出了具体规定，进一步提高了政府信息公开的规范化、制度化水平。</w:t>
      </w:r>
    </w:p>
    <w:p w14:paraId="1E514D96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二、主动公开情况</w:t>
      </w:r>
    </w:p>
    <w:p w14:paraId="5E06CF09">
      <w:pPr>
        <w:spacing w:line="560" w:lineRule="exact"/>
        <w:ind w:firstLine="640" w:firstLineChars="200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（一）主动公开信息数量</w:t>
      </w:r>
    </w:p>
    <w:p w14:paraId="49449123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1.中心网上服务平台</w:t>
      </w:r>
    </w:p>
    <w:p w14:paraId="6790A9E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将进驻中心办事大厅</w:t>
      </w:r>
      <w:r>
        <w:rPr>
          <w:rFonts w:hint="eastAsia" w:ascii="仿宋_GB2312" w:eastAsia="仿宋_GB2312"/>
          <w:sz w:val="32"/>
          <w:szCs w:val="32"/>
        </w:rPr>
        <w:t>281项行政</w:t>
      </w:r>
      <w:r>
        <w:rPr>
          <w:rFonts w:hint="eastAsia" w:ascii="仿宋_GB2312" w:hAnsi="Calibri" w:eastAsia="仿宋_GB2312" w:cs="Times New Roman"/>
          <w:bCs/>
          <w:sz w:val="32"/>
          <w:szCs w:val="28"/>
        </w:rPr>
        <w:t>许可和服务类事项</w:t>
      </w:r>
      <w:r>
        <w:rPr>
          <w:rFonts w:hint="eastAsia" w:ascii="仿宋_GB2312" w:eastAsia="仿宋_GB2312"/>
          <w:sz w:val="32"/>
          <w:szCs w:val="32"/>
        </w:rPr>
        <w:t>法律根据、所需材料、承诺期限等信息在中心网上服务平台予以公开。认真做好政务在线网上咨询回复工作，全年共回复网民咨询留言104条，无超期限回复和不回复现象。认真做好政府采购信息公开工作，全年共发布17项招标公告、16项中标公告。根据中心领导分工和各科室职责调整情况，及时修改完善中心机构设置信息。全年发布会议、工作等动态信息78条。网上服务平台全年访问量为</w:t>
      </w:r>
      <w:r>
        <w:rPr>
          <w:rFonts w:ascii="仿宋_GB2312" w:eastAsia="仿宋_GB2312"/>
          <w:sz w:val="32"/>
          <w:szCs w:val="32"/>
        </w:rPr>
        <w:t>528681</w:t>
      </w:r>
      <w:r>
        <w:rPr>
          <w:rFonts w:hint="eastAsia" w:ascii="仿宋_GB2312" w:eastAsia="仿宋_GB2312"/>
          <w:sz w:val="32"/>
          <w:szCs w:val="32"/>
        </w:rPr>
        <w:t>人次。</w:t>
      </w:r>
    </w:p>
    <w:p w14:paraId="1047F2C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2.中心虚拟服务大厅平台系统</w:t>
      </w:r>
    </w:p>
    <w:p w14:paraId="79BFB02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采用全景虚拟化场景技术，为办事人提供清晰的交通路线图、形象的中心介绍、各窗口办事指南介绍，</w:t>
      </w:r>
      <w:r>
        <w:rPr>
          <w:rFonts w:hint="eastAsia" w:ascii="仿宋_GB2312" w:hAnsi="宋体" w:eastAsia="仿宋_GB2312"/>
          <w:sz w:val="32"/>
          <w:szCs w:val="32"/>
        </w:rPr>
        <w:t>即时在线答疑功能方便办事人进行网上一对一实时交流，</w:t>
      </w: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hint="eastAsia" w:ascii="仿宋_GB2312" w:hAnsi="仿宋" w:eastAsia="仿宋_GB2312"/>
          <w:sz w:val="32"/>
          <w:szCs w:val="32"/>
        </w:rPr>
        <w:t>访问人数达45188人次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84BAD76">
      <w:pPr>
        <w:spacing w:line="560" w:lineRule="exact"/>
        <w:ind w:firstLine="640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pacing w:val="-4"/>
          <w:sz w:val="32"/>
          <w:szCs w:val="32"/>
        </w:rPr>
        <w:t>“数字东城”网站</w:t>
      </w:r>
    </w:p>
    <w:p w14:paraId="41F41F06">
      <w:pPr>
        <w:spacing w:line="56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全年共发布政务动态、会议动态、工作动态、政府采购等信息140条。</w:t>
      </w:r>
    </w:p>
    <w:p w14:paraId="30FAE3A8">
      <w:pPr>
        <w:spacing w:line="56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4.中心政务微博</w:t>
      </w:r>
    </w:p>
    <w:p w14:paraId="7D3521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心工作实际，开辟业务问答、中心动态、微提示等专栏，重点公布了中心深化行政审批制度改革、创新便民服务举措、联络服务驻区企业方面的信息，及时回复网民留言咨询，全年共发布政务工作信息226条。</w:t>
      </w:r>
    </w:p>
    <w:p w14:paraId="4176FAF6">
      <w:pPr>
        <w:spacing w:line="560" w:lineRule="exact"/>
        <w:ind w:firstLine="640" w:firstLineChars="200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（二）政府信息公开查阅场所</w:t>
      </w:r>
    </w:p>
    <w:p w14:paraId="5856DB2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通过在一层服务大厅东侧增加办理事项信息公开栏、</w:t>
      </w:r>
      <w:r>
        <w:rPr>
          <w:rFonts w:hint="eastAsia" w:ascii="仿宋_GB2312" w:hAnsi="宋体" w:eastAsia="仿宋_GB2312"/>
          <w:kern w:val="0"/>
          <w:sz w:val="32"/>
        </w:rPr>
        <w:t>设置电子触摸屏等方式</w:t>
      </w:r>
      <w:r>
        <w:rPr>
          <w:rFonts w:hint="eastAsia" w:ascii="仿宋_GB2312" w:eastAsia="仿宋_GB2312"/>
          <w:sz w:val="32"/>
          <w:szCs w:val="32"/>
        </w:rPr>
        <w:t>，将进驻中心窗口事项目录清单予以公开。在一层大厅电子屏幕滚动播放办理事项相关信息，在显著位置张贴《东城区行政服务中心办事大厅方位图》《东城区行政服务中心简介》《东城区行政服务中心服务承诺》等，并随时进行内容更新。</w:t>
      </w:r>
      <w:r>
        <w:rPr>
          <w:rFonts w:hint="eastAsia" w:ascii="仿宋_GB2312" w:hAnsi="宋体" w:eastAsia="仿宋_GB2312"/>
          <w:kern w:val="0"/>
          <w:sz w:val="32"/>
        </w:rPr>
        <w:t>2014年，中心累计接收全区政府信息公开纸质文本573份。</w:t>
      </w:r>
    </w:p>
    <w:p w14:paraId="054F2BEE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三、依申请公开情况</w:t>
      </w:r>
    </w:p>
    <w:p w14:paraId="6163E6B0">
      <w:pPr>
        <w:spacing w:line="56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（一）依申请公开受理</w:t>
      </w:r>
    </w:p>
    <w:p w14:paraId="4528EC1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2014年，中心未接到政府信息公开申请，未产生相关的人员、信息和诉讼费用。</w:t>
      </w:r>
    </w:p>
    <w:p w14:paraId="53103373">
      <w:pPr>
        <w:spacing w:line="52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（二）行政复议诉讼</w:t>
      </w:r>
    </w:p>
    <w:p w14:paraId="726F6EAC">
      <w:pPr>
        <w:spacing w:line="52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>2014年，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中心</w:t>
      </w:r>
      <w:r>
        <w:rPr>
          <w:rFonts w:hint="eastAsia" w:ascii="仿宋_GB2312" w:hAnsi="宋体" w:eastAsia="仿宋_GB2312"/>
          <w:color w:val="000000"/>
          <w:kern w:val="0"/>
          <w:sz w:val="32"/>
        </w:rPr>
        <w:t>未发生行政复议和行政诉讼情况。</w:t>
      </w:r>
    </w:p>
    <w:p w14:paraId="58F1556E">
      <w:pPr>
        <w:spacing w:line="52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四、存在的不足及改进措施</w:t>
      </w:r>
    </w:p>
    <w:p w14:paraId="1CA08EE4">
      <w:pPr>
        <w:spacing w:line="5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中心2014年政府信息公开工作存在以下不足：一是对政府信息公开工作的认识还需进一步增强；二是政府信息公开渠道还需进一步拓宽；三是政府信息公开发布还需进一步规范。</w:t>
      </w:r>
    </w:p>
    <w:p w14:paraId="5D817A2B">
      <w:pPr>
        <w:spacing w:line="52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2015年，中心将重点做好以下工作：</w:t>
      </w:r>
    </w:p>
    <w:p w14:paraId="5A72BB62">
      <w:pPr>
        <w:spacing w:line="520" w:lineRule="exact"/>
        <w:ind w:firstLine="627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/>
          <w:b/>
          <w:spacing w:val="-4"/>
          <w:sz w:val="32"/>
          <w:szCs w:val="32"/>
        </w:rPr>
        <w:t>1.</w:t>
      </w:r>
      <w:r>
        <w:rPr>
          <w:rFonts w:hint="eastAsia" w:ascii="仿宋_GB2312" w:eastAsia="仿宋_GB2312"/>
          <w:b/>
          <w:spacing w:val="-4"/>
          <w:sz w:val="32"/>
          <w:szCs w:val="32"/>
        </w:rPr>
        <w:t>继续加强学习，提高业务水平。</w:t>
      </w:r>
      <w:r>
        <w:rPr>
          <w:rFonts w:hint="eastAsia" w:ascii="仿宋_GB2312" w:eastAsia="仿宋_GB2312"/>
          <w:spacing w:val="-4"/>
          <w:sz w:val="32"/>
          <w:szCs w:val="32"/>
        </w:rPr>
        <w:t>加强对《政府信息公开条例》等政策法规的学习，使领导干部加深对当前政府信息公开工作的重要意义、目标任务和工作要求的认识；积极开展经验做法的学习交流，促进政府信息公开工作水平全面提高。</w:t>
      </w:r>
    </w:p>
    <w:p w14:paraId="0BA1A93D">
      <w:pPr>
        <w:spacing w:line="520" w:lineRule="exact"/>
        <w:ind w:firstLine="627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不断加强信息公开基础管理工作。</w:t>
      </w:r>
      <w:r>
        <w:rPr>
          <w:rFonts w:hint="eastAsia" w:ascii="仿宋_GB2312" w:eastAsia="仿宋_GB2312"/>
          <w:sz w:val="32"/>
          <w:szCs w:val="32"/>
        </w:rPr>
        <w:t>继续强化专人负责信息公开工作，明确工作职责，做好日常管理工作。以服务办事群众为目的，在规定的政府信息公开范围内，及时发布和更新依法应主动公开的政府信息，认真做好依申请公开政府信息答复工作，进一步加大典型案例报送力度。</w:t>
      </w:r>
    </w:p>
    <w:p w14:paraId="307ADA55">
      <w:pPr>
        <w:spacing w:line="520" w:lineRule="exact"/>
        <w:ind w:firstLine="627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3.深入应用信息化手段推进公开。</w:t>
      </w:r>
      <w:r>
        <w:rPr>
          <w:rFonts w:hint="eastAsia" w:ascii="仿宋_GB2312" w:eastAsia="仿宋_GB2312"/>
          <w:spacing w:val="-4"/>
          <w:sz w:val="32"/>
          <w:szCs w:val="32"/>
        </w:rPr>
        <w:t>以三级政务服务体系建设、“两网融合”为契机，不断加大网上服务平台和</w:t>
      </w:r>
      <w:r>
        <w:rPr>
          <w:rFonts w:hint="eastAsia" w:ascii="仿宋_GB2312" w:eastAsia="仿宋_GB2312"/>
          <w:sz w:val="32"/>
          <w:szCs w:val="32"/>
        </w:rPr>
        <w:t>大厅智能终端系统建设，进一步加大利用中心门户网站公开信息力度，继续发挥政务微博优势，积极探索政务微信等新兴媒体在政府信息公开工作中的独特作用，不断加大中心在深化行政审批制度改革、优化经济发展环境、创新便民服务举措方面的宣传公开力度。</w:t>
      </w:r>
    </w:p>
    <w:p w14:paraId="782BAFA7">
      <w:pPr>
        <w:spacing w:line="52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北京市东城区行政服务中心</w:t>
      </w:r>
    </w:p>
    <w:p w14:paraId="16051AAA">
      <w:pPr>
        <w:spacing w:line="52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2015年3月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693A3-9414-4B2A-B55E-030C70C286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565EDE-5E88-4849-BC16-D55F89591E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9BD8F8-4214-46AA-BC93-D5090416404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DBCBDF7C-4282-4130-977D-0511BB6523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BC913EE-FB1D-4694-9BC4-0ADDA5E7A7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C655F56-2B61-409F-B339-C617ED37813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97F0FC57-4AA4-4820-978C-C99FAB454F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8E76B93-431E-459C-B5DC-10DFF23751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20298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4759715D">
        <w:pPr>
          <w:pStyle w:val="3"/>
          <w:jc w:val="right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3 -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59E180A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0877"/>
      <w:docPartObj>
        <w:docPartGallery w:val="AutoText"/>
      </w:docPartObj>
    </w:sdtPr>
    <w:sdtContent>
      <w:p w14:paraId="60136708">
        <w:pPr>
          <w:pStyle w:val="3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4 -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7FB096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835F3A"/>
    <w:rsid w:val="00015DE5"/>
    <w:rsid w:val="00025C99"/>
    <w:rsid w:val="00063DC6"/>
    <w:rsid w:val="000673C0"/>
    <w:rsid w:val="00095BA8"/>
    <w:rsid w:val="000978D5"/>
    <w:rsid w:val="001110D7"/>
    <w:rsid w:val="00123ECE"/>
    <w:rsid w:val="001855F2"/>
    <w:rsid w:val="001862C2"/>
    <w:rsid w:val="0019030C"/>
    <w:rsid w:val="001C7485"/>
    <w:rsid w:val="001D68A6"/>
    <w:rsid w:val="001E3302"/>
    <w:rsid w:val="001F75E9"/>
    <w:rsid w:val="00221639"/>
    <w:rsid w:val="00257269"/>
    <w:rsid w:val="002B1EF6"/>
    <w:rsid w:val="002D4544"/>
    <w:rsid w:val="002E12BA"/>
    <w:rsid w:val="002E6067"/>
    <w:rsid w:val="003050FA"/>
    <w:rsid w:val="00316B11"/>
    <w:rsid w:val="003249E4"/>
    <w:rsid w:val="003526A5"/>
    <w:rsid w:val="00355848"/>
    <w:rsid w:val="003655F2"/>
    <w:rsid w:val="00376E61"/>
    <w:rsid w:val="003A2CD7"/>
    <w:rsid w:val="003B2958"/>
    <w:rsid w:val="003C61B6"/>
    <w:rsid w:val="003E2C35"/>
    <w:rsid w:val="004308E4"/>
    <w:rsid w:val="0043307C"/>
    <w:rsid w:val="00466673"/>
    <w:rsid w:val="004E2B5A"/>
    <w:rsid w:val="005122EC"/>
    <w:rsid w:val="00555367"/>
    <w:rsid w:val="005A5C72"/>
    <w:rsid w:val="005D552E"/>
    <w:rsid w:val="005E10F1"/>
    <w:rsid w:val="0060121D"/>
    <w:rsid w:val="0061367A"/>
    <w:rsid w:val="00614AF6"/>
    <w:rsid w:val="00630FCB"/>
    <w:rsid w:val="00693F2F"/>
    <w:rsid w:val="006B0D02"/>
    <w:rsid w:val="006C247A"/>
    <w:rsid w:val="006C3283"/>
    <w:rsid w:val="006D509B"/>
    <w:rsid w:val="00711344"/>
    <w:rsid w:val="00716FA5"/>
    <w:rsid w:val="0073791F"/>
    <w:rsid w:val="0074709B"/>
    <w:rsid w:val="007516B3"/>
    <w:rsid w:val="00752DEC"/>
    <w:rsid w:val="00772AD7"/>
    <w:rsid w:val="0079796D"/>
    <w:rsid w:val="007A2A85"/>
    <w:rsid w:val="007C1635"/>
    <w:rsid w:val="007D3455"/>
    <w:rsid w:val="00830FA0"/>
    <w:rsid w:val="00835F3A"/>
    <w:rsid w:val="008626DC"/>
    <w:rsid w:val="008734F0"/>
    <w:rsid w:val="0088055D"/>
    <w:rsid w:val="00895B88"/>
    <w:rsid w:val="008A745F"/>
    <w:rsid w:val="008D24B6"/>
    <w:rsid w:val="008D373D"/>
    <w:rsid w:val="008E599E"/>
    <w:rsid w:val="00907F49"/>
    <w:rsid w:val="0091010F"/>
    <w:rsid w:val="00920934"/>
    <w:rsid w:val="00924D08"/>
    <w:rsid w:val="00973D80"/>
    <w:rsid w:val="009A34F6"/>
    <w:rsid w:val="009E27D7"/>
    <w:rsid w:val="00A10AC3"/>
    <w:rsid w:val="00A31825"/>
    <w:rsid w:val="00A46E0E"/>
    <w:rsid w:val="00A9184A"/>
    <w:rsid w:val="00A9362F"/>
    <w:rsid w:val="00AB1236"/>
    <w:rsid w:val="00AF15B0"/>
    <w:rsid w:val="00B01CE4"/>
    <w:rsid w:val="00B02C93"/>
    <w:rsid w:val="00B207E1"/>
    <w:rsid w:val="00B57C1E"/>
    <w:rsid w:val="00B73C25"/>
    <w:rsid w:val="00B946B9"/>
    <w:rsid w:val="00BB37E1"/>
    <w:rsid w:val="00BB7C94"/>
    <w:rsid w:val="00C10AC3"/>
    <w:rsid w:val="00C331DD"/>
    <w:rsid w:val="00C33779"/>
    <w:rsid w:val="00C34D96"/>
    <w:rsid w:val="00C42113"/>
    <w:rsid w:val="00C4379D"/>
    <w:rsid w:val="00C53C17"/>
    <w:rsid w:val="00C541EA"/>
    <w:rsid w:val="00CA7ACE"/>
    <w:rsid w:val="00CD1B99"/>
    <w:rsid w:val="00CD49E0"/>
    <w:rsid w:val="00CF1F00"/>
    <w:rsid w:val="00D01262"/>
    <w:rsid w:val="00D20D1B"/>
    <w:rsid w:val="00DB7E06"/>
    <w:rsid w:val="00DD3326"/>
    <w:rsid w:val="00DD3A6D"/>
    <w:rsid w:val="00DE62D9"/>
    <w:rsid w:val="00DF03E5"/>
    <w:rsid w:val="00E15CF3"/>
    <w:rsid w:val="00E7117F"/>
    <w:rsid w:val="00E811C1"/>
    <w:rsid w:val="00EA4D9A"/>
    <w:rsid w:val="00EA5F93"/>
    <w:rsid w:val="00EE6227"/>
    <w:rsid w:val="00EF6D86"/>
    <w:rsid w:val="00EF7CEC"/>
    <w:rsid w:val="00F5576A"/>
    <w:rsid w:val="00FD6BA9"/>
    <w:rsid w:val="2BE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C92E-1365-46EC-BFD0-2ED7C36B1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1773</Words>
  <Characters>1877</Characters>
  <Lines>13</Lines>
  <Paragraphs>3</Paragraphs>
  <TotalTime>104</TotalTime>
  <ScaleCrop>false</ScaleCrop>
  <LinksUpToDate>false</LinksUpToDate>
  <CharactersWithSpaces>1880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2014-11-15T01:18:00Z</dcterms:created>
  <dc:creator>zyl</dc:creator>
  <cp:lastModifiedBy>依然</cp:lastModifiedBy>
  <cp:lastPrinted>2014-11-15T06:15:00Z</cp:lastPrinted>
  <dcterms:modified xsi:type="dcterms:W3CDTF">2025-05-23T08:27:00Z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eyJoZGlkIjoiODViY2JkMjU3NGYzZTEwMzZmMGFkZWViYmNkYWU3NDIiLCJ1c2VySWQiOiIxMTc2MDE0ODk4In0=</vt:lpwstr>
  </property>
  <property fmtid="{D5CDD505-2E9C-101B-9397-08002B2CF9AE}" pid="3" name="KSOProductBuildVer">
    <vt:lpwstr>2052-12.1.0.21171</vt:lpwstr>
  </property>
  <property fmtid="{D5CDD505-2E9C-101B-9397-08002B2CF9AE}" pid="4" name="ICV">
    <vt:lpwstr>0F40A147ACFD4698B0B8CF1510EDF9D6_12</vt:lpwstr>
  </property>
</Properties>
</file>