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FFCB">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2012年东城区永定门外街道政府信息公开</w:t>
      </w:r>
    </w:p>
    <w:p w14:paraId="5B28430F">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工作年度报告</w:t>
      </w:r>
    </w:p>
    <w:p w14:paraId="3F3DA29D">
      <w:pPr>
        <w:widowControl/>
        <w:shd w:val="clear" w:color="auto" w:fill="FFFFFF"/>
        <w:spacing w:before="312" w:after="312" w:line="560" w:lineRule="atLeast"/>
        <w:jc w:val="center"/>
        <w:rPr>
          <w:rFonts w:hint="eastAsia" w:ascii="微软雅黑" w:hAnsi="微软雅黑" w:eastAsia="微软雅黑" w:cs="宋体"/>
          <w:color w:val="000000"/>
          <w:kern w:val="0"/>
          <w:sz w:val="24"/>
          <w:szCs w:val="24"/>
        </w:rPr>
      </w:pPr>
      <w:r>
        <w:rPr>
          <w:rFonts w:hint="eastAsia" w:ascii="楷体" w:hAnsi="楷体" w:eastAsia="楷体" w:cs="宋体"/>
          <w:kern w:val="0"/>
          <w:sz w:val="30"/>
          <w:szCs w:val="30"/>
        </w:rPr>
        <w:t>东城区永定门外街道</w:t>
      </w:r>
    </w:p>
    <w:p w14:paraId="674CDFE6">
      <w:pPr>
        <w:widowControl/>
        <w:shd w:val="clear" w:color="auto" w:fill="FFFFFF"/>
        <w:spacing w:after="300"/>
        <w:ind w:firstLine="720" w:firstLineChars="200"/>
        <w:jc w:val="left"/>
        <w:rPr>
          <w:rFonts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本报告是根据《中华人民共和国政府信息公开条例》</w:t>
      </w:r>
      <w:r>
        <w:rPr>
          <w:rFonts w:hint="eastAsia" w:ascii="华文仿宋" w:hAnsi="华文仿宋" w:eastAsia="华文仿宋" w:cs="宋体"/>
          <w:color w:val="000000"/>
          <w:kern w:val="0"/>
          <w:sz w:val="36"/>
          <w:szCs w:val="36"/>
        </w:rPr>
        <w:t>（</w:t>
      </w:r>
      <w:r>
        <w:rPr>
          <w:rFonts w:hint="eastAsia" w:ascii="华文仿宋" w:hAnsi="华文仿宋" w:eastAsia="华文仿宋" w:cs="宋体"/>
          <w:color w:val="404040"/>
          <w:kern w:val="0"/>
          <w:sz w:val="36"/>
          <w:szCs w:val="36"/>
        </w:rPr>
        <w:t>以下简称《条例》）要求</w:t>
      </w:r>
      <w:r>
        <w:rPr>
          <w:rFonts w:hint="eastAsia" w:ascii="华文仿宋" w:hAnsi="华文仿宋" w:eastAsia="华文仿宋" w:cs="宋体"/>
          <w:color w:val="000000"/>
          <w:kern w:val="0"/>
          <w:sz w:val="36"/>
          <w:szCs w:val="36"/>
        </w:rPr>
        <w:t>，由永定门外街道办事处编制的2011年度政府信息公开年度报告。</w:t>
      </w:r>
    </w:p>
    <w:p w14:paraId="5863B83D">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全文包括概述，主动公开政府信息的情况，依申请公开政府信息和不予公开政府信息的情况，因政府信息公开申请行政复议、提起行政诉讼的情况，政府信息公开工作存在不足及改进措施。</w:t>
      </w:r>
    </w:p>
    <w:p w14:paraId="0B22F0CB">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本报告中所列数据的统计期限自2012年1月1日起，至2012年12月31日止。本报告的电子版可在东城区信息公开专栏或永外街道政务网站（</w:t>
      </w:r>
      <w:r>
        <w:fldChar w:fldCharType="begin"/>
      </w:r>
      <w:r>
        <w:instrText xml:space="preserve"> HYPERLINK "http://10.162.208.112:8001/login.jsp" \o "跳转到第1页" </w:instrText>
      </w:r>
      <w:r>
        <w:fldChar w:fldCharType="separate"/>
      </w:r>
      <w:r>
        <w:rPr>
          <w:rFonts w:hint="eastAsia" w:ascii="华文仿宋" w:hAnsi="华文仿宋" w:eastAsia="华文仿宋" w:cs="宋体"/>
          <w:color w:val="000000"/>
          <w:kern w:val="0"/>
          <w:sz w:val="36"/>
          <w:szCs w:val="36"/>
        </w:rPr>
        <w:t>http://10.162.208.112:8001/login.jsp</w:t>
      </w:r>
      <w:r>
        <w:rPr>
          <w:rFonts w:hint="eastAsia" w:ascii="华文仿宋" w:hAnsi="华文仿宋" w:eastAsia="华文仿宋" w:cs="宋体"/>
          <w:color w:val="000000"/>
          <w:kern w:val="0"/>
          <w:sz w:val="36"/>
          <w:szCs w:val="36"/>
        </w:rPr>
        <w:fldChar w:fldCharType="end"/>
      </w:r>
      <w:r>
        <w:rPr>
          <w:rFonts w:hint="eastAsia" w:ascii="华文仿宋" w:hAnsi="华文仿宋" w:eastAsia="华文仿宋" w:cs="宋体"/>
          <w:color w:val="404040"/>
          <w:kern w:val="0"/>
          <w:sz w:val="36"/>
          <w:szCs w:val="36"/>
        </w:rPr>
        <w:t>)、永外社会领域党建网（http://www.ywdj.org/）、永外社区服务网（http://189.16.0.18/ecomm/）以及登陆永外微博，进行查询和下载，同时也对我们的工作进行监督和关注。如对本报告</w:t>
      </w:r>
      <w:r>
        <w:rPr>
          <w:rFonts w:hint="eastAsia" w:ascii="华文仿宋" w:hAnsi="华文仿宋" w:eastAsia="华文仿宋" w:cs="宋体"/>
          <w:color w:val="000000"/>
          <w:kern w:val="0"/>
          <w:sz w:val="36"/>
          <w:szCs w:val="36"/>
        </w:rPr>
        <w:t>有任何疑问，请与永外街道办事处办公室联系（地址：北京市东城区安乐林路85号；邮编：100075；联系电话：67214663；电子邮箱：yongwaijiedao@sohu.com）。</w:t>
      </w:r>
    </w:p>
    <w:p w14:paraId="534BD898">
      <w:pPr>
        <w:widowControl/>
        <w:shd w:val="clear" w:color="auto" w:fill="FFFFFF"/>
        <w:spacing w:before="312" w:after="312" w:line="560" w:lineRule="atLeast"/>
        <w:jc w:val="center"/>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一、概述</w:t>
      </w:r>
    </w:p>
    <w:p w14:paraId="7534E031">
      <w:pPr>
        <w:widowControl/>
        <w:shd w:val="clear" w:color="auto" w:fill="FFFFFF"/>
        <w:spacing w:line="560" w:lineRule="atLeast"/>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       积极落实《中华人民共和国政府信息公开条例》，推行政府信息公开，是提高科学执政、民主执政、依法执政能力和水平，构建社会主义和谐社会的必然要求。</w:t>
      </w:r>
      <w:r>
        <w:rPr>
          <w:rFonts w:hint="eastAsia" w:ascii="华文仿宋" w:hAnsi="华文仿宋" w:eastAsia="华文仿宋" w:cs="宋体"/>
          <w:color w:val="000000"/>
          <w:kern w:val="0"/>
          <w:sz w:val="36"/>
          <w:szCs w:val="36"/>
        </w:rPr>
        <w:t>根据《条例》内容及要求，自200</w:t>
      </w:r>
      <w:r>
        <w:rPr>
          <w:rFonts w:hint="eastAsia" w:ascii="华文仿宋" w:hAnsi="华文仿宋" w:eastAsia="华文仿宋" w:cs="宋体"/>
          <w:color w:val="404040"/>
          <w:kern w:val="0"/>
          <w:sz w:val="36"/>
          <w:szCs w:val="36"/>
        </w:rPr>
        <w:t>8年5月1日起我单位开始开展政府信息公开工作。以“要深化政务公开，落实政府信息公开条例，推进权力公开透明运行”的精神为指导，积极推进我街道信息公开工作，充分发挥了政府信息对人民群众生产、生活和经济社会活动的服务作用。我单位专门设立了信息申请受理点并在我街道机关大厅等办公地点内设立便民触摸屏查阅。截至2012年底，单位内政府信息公开工作运行正常，政府信息公开咨询、申请以及答复工作均得到了顺利开展。</w:t>
      </w:r>
    </w:p>
    <w:p w14:paraId="53EC29B9">
      <w:pPr>
        <w:widowControl/>
        <w:shd w:val="clear" w:color="auto" w:fill="FFFFFF"/>
        <w:spacing w:line="560" w:lineRule="atLeast"/>
        <w:ind w:firstLine="63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一是领导高度重视， </w:t>
      </w:r>
      <w:r>
        <w:rPr>
          <w:rFonts w:hint="eastAsia" w:ascii="华文仿宋" w:hAnsi="华文仿宋" w:eastAsia="华文仿宋" w:cs="宋体"/>
          <w:color w:val="404040"/>
          <w:kern w:val="0"/>
          <w:sz w:val="36"/>
          <w:szCs w:val="36"/>
        </w:rPr>
        <w:t>我街道领导高度重视政务公开工作，按照区政府信息公开工作的整体部署，召开了街道政务公开工作专项会议，传达了相关精神，研究了具体工作方案。成立了以工委书记、办事处主任为组长，工委副书记、纪工委书记、工会主席、武装部部长、办事处副主任为副组长、各职能科室、社区居委会等部门负责人为成员的永外街道政府信息公开工作领导小组，并下设办公室，专门负责信息公开各项工作的具体落实。明确了各部门、各科室及每名工作人员的职责。组织工作人员进行了专项业务培训，传达了有关精神，统一了思想，制定并明确了岗位职责，部署了具体工作，提出了工作要求，对工作人员的业务的掌握提出更高要求，保障在工作中以快捷准确的工作效率受理政府信息公开的咨询及相关工作。</w:t>
      </w:r>
    </w:p>
    <w:p w14:paraId="32D4A02D">
      <w:pPr>
        <w:widowControl/>
        <w:shd w:val="clear" w:color="auto" w:fill="FFFFFF"/>
        <w:spacing w:line="560" w:lineRule="atLeast"/>
        <w:ind w:firstLine="63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二是建立长效机制。</w:t>
      </w:r>
      <w:r>
        <w:rPr>
          <w:rFonts w:hint="eastAsia" w:ascii="华文仿宋" w:hAnsi="华文仿宋" w:eastAsia="华文仿宋" w:cs="宋体"/>
          <w:color w:val="404040"/>
          <w:kern w:val="0"/>
          <w:sz w:val="36"/>
          <w:szCs w:val="36"/>
        </w:rPr>
        <w:t>2010年实施完善三级行政服务体系建设工作以来，街道领导高度重视此工作，对服务大厅及社区中的主动公开信息的设施使用情况、信息是否准确和工作的开展情况进行多次调研，为使政府信息公开工作在日后得到长效管理、长效推进，街道在开展清理、公开工作的同时，进行了信息公开工作机制的探索，按照区有关要求，并结合地区实际，建立健全了一系列工作制度和机制，如：政府信息的主动公开机制，信息发布协调机制及监督机制等，将街道的政府信息公开工作进一步规范化、制度化。</w:t>
      </w:r>
    </w:p>
    <w:p w14:paraId="2414626D">
      <w:pPr>
        <w:widowControl/>
        <w:shd w:val="clear" w:color="auto" w:fill="FFFFFF"/>
        <w:spacing w:line="560" w:lineRule="atLeast"/>
        <w:ind w:firstLine="63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三是提高公开质量。 </w:t>
      </w:r>
      <w:r>
        <w:rPr>
          <w:rFonts w:hint="eastAsia" w:ascii="华文仿宋" w:hAnsi="华文仿宋" w:eastAsia="华文仿宋" w:cs="宋体"/>
          <w:color w:val="404040"/>
          <w:kern w:val="0"/>
          <w:sz w:val="36"/>
          <w:szCs w:val="36"/>
        </w:rPr>
        <w:t>在政务信息公开时要做到，公开的内容更加充实。街道政务公开内容包括：一是部门介绍类。街道内设各科室职能权限、服务范围、工作标准及工作人员岗位职责、行为规范以及便民服务电话。二是公文法规类。中央和各级惠民政策及贯彻落实情况；行业性的政策、法律、法规；街道办事处有关街道层面公共服务的公文。三是服务指南类。办事依据、办理条件、办理时限、办理流程、办事结果；需要提交的申请材料的示范文本等。公开工作坚持把群众最关心、最需要了解的事项公开作为政务信息公开的重点,从信息公开和便民服务等方面入手，加大推行政务公开的力度。</w:t>
      </w:r>
    </w:p>
    <w:p w14:paraId="28559079">
      <w:pPr>
        <w:widowControl/>
        <w:shd w:val="clear" w:color="auto" w:fill="FFFFFF"/>
        <w:spacing w:line="560" w:lineRule="atLeast"/>
        <w:ind w:firstLine="63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四是及时更新内容。</w:t>
      </w:r>
      <w:r>
        <w:rPr>
          <w:rFonts w:hint="eastAsia" w:ascii="华文仿宋" w:hAnsi="华文仿宋" w:eastAsia="华文仿宋" w:cs="宋体"/>
          <w:color w:val="404040"/>
          <w:kern w:val="0"/>
          <w:sz w:val="36"/>
          <w:szCs w:val="36"/>
        </w:rPr>
        <w:t>针对公开项目的不同情况，确定公开时间，做到常规性工作定期公开，临时性工作随时公开，固定性工作长期公开。今年我街道新建了对外门户网，通过对外门户网及时将有关永外街道的工作动态发布。此外，街道配合区里要求，及时对办事处及各社区服务站工作职责和相关政务服务业务流程进行了全面梳理，对外公开街道办事处业务流程98项、社区服务站业务流程65项，并完成了区行政权力网上公开透明运行系统中政务服务事项的录入工作。</w:t>
      </w:r>
    </w:p>
    <w:p w14:paraId="03137A02">
      <w:pPr>
        <w:widowControl/>
        <w:shd w:val="clear" w:color="auto" w:fill="FFFFFF"/>
        <w:spacing w:line="560" w:lineRule="atLeast"/>
        <w:ind w:firstLine="63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五是加强监察监督。</w:t>
      </w:r>
      <w:r>
        <w:rPr>
          <w:rFonts w:hint="eastAsia" w:ascii="华文仿宋" w:hAnsi="华文仿宋" w:eastAsia="华文仿宋" w:cs="宋体"/>
          <w:color w:val="404040"/>
          <w:kern w:val="0"/>
          <w:sz w:val="36"/>
          <w:szCs w:val="36"/>
        </w:rPr>
        <w:t>为进一步加强2012年政府信息公开效能监察工作，加强集成政府作风建设，增强干部依法行政意识，推动我街道创先争优暨党员作风建设年活动的深入开展，结合我街道工作实际，对我街道社保服务大厅进行了群众满意度测评和民主评议工作，评议的内容有信息公开、依法行政、服务质量和廉洁自律等，群众满意率达99.5%，在街道内强化监督，保证有效开展政务公开工作。其中主要采取了四种监督形式：一是设置电话和举报箱，广泛发动群众参政、议政，实行社会监督；二是加强党风廉政建设，层层落实</w:t>
      </w:r>
      <w:bookmarkStart w:id="0" w:name="_GoBack"/>
      <w:bookmarkEnd w:id="0"/>
      <w:r>
        <w:rPr>
          <w:rFonts w:hint="eastAsia" w:ascii="华文仿宋" w:hAnsi="华文仿宋" w:eastAsia="华文仿宋" w:cs="宋体"/>
          <w:color w:val="404040"/>
          <w:kern w:val="0"/>
          <w:sz w:val="36"/>
          <w:szCs w:val="36"/>
          <w:lang w:eastAsia="zh-CN"/>
        </w:rPr>
        <w:t>党风廉政建设责任制</w:t>
      </w:r>
      <w:r>
        <w:rPr>
          <w:rFonts w:hint="eastAsia" w:ascii="华文仿宋" w:hAnsi="华文仿宋" w:eastAsia="华文仿宋" w:cs="宋体"/>
          <w:color w:val="404040"/>
          <w:kern w:val="0"/>
          <w:sz w:val="36"/>
          <w:szCs w:val="36"/>
        </w:rPr>
        <w:t>，实行组织监督；三是加强内部审计，开展行政效能监察和执法检查，内外结合，实行监察监督；四是发放测评表格及意见卡，加强街内民主化。通过推进信息公开和创建活动，激发了干部团结向上，优质、高效服务人民群众的工作热情。区督导组对永外街道评议基层站的工作进行检查及评议工作给予肯定。</w:t>
      </w:r>
    </w:p>
    <w:p w14:paraId="693896AD">
      <w:pPr>
        <w:widowControl/>
        <w:shd w:val="clear" w:color="auto" w:fill="FFFFFF"/>
        <w:spacing w:before="312" w:after="312" w:line="560" w:lineRule="atLeast"/>
        <w:jc w:val="center"/>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二、主动公开情况</w:t>
      </w:r>
    </w:p>
    <w:p w14:paraId="7DD9FD5A">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条例》第9至12条规定的主动公开政府信息范围，开展了信息清理和目录编制工作，并按照《条例》第15条规定，通过政府网站等便于公众知晓的方式主动公开。按照《条例》第16条规定，在街道办事处大厅、街道服务大厅等设立了政府信息公开查阅点，为公民、法人或者其他组织获取政府信息提供便利。</w:t>
      </w:r>
    </w:p>
    <w:p w14:paraId="43074B79">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（一）主要公开渠道</w:t>
      </w:r>
    </w:p>
    <w:p w14:paraId="5D44660E">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000000"/>
          <w:kern w:val="0"/>
          <w:sz w:val="36"/>
          <w:szCs w:val="36"/>
        </w:rPr>
        <w:t>在主动公开的信息中，为方便公众了解信息，本单位在主动公开政府信息的形式上做了政府网站、信息公开大厅的信息工作。在便民服务上做了目录编制及宣传工作。</w:t>
      </w:r>
    </w:p>
    <w:p w14:paraId="5C71FC04">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000000"/>
          <w:kern w:val="0"/>
          <w:sz w:val="36"/>
          <w:szCs w:val="36"/>
        </w:rPr>
        <w:t>本单位</w:t>
      </w:r>
      <w:r>
        <w:rPr>
          <w:rFonts w:hint="eastAsia" w:ascii="华文仿宋" w:hAnsi="华文仿宋" w:eastAsia="华文仿宋" w:cs="宋体"/>
          <w:color w:val="404040"/>
          <w:kern w:val="0"/>
          <w:sz w:val="36"/>
          <w:szCs w:val="36"/>
        </w:rPr>
        <w:t>2012年共主动公开政府信息85条，其中全文电子化率达100%。</w:t>
      </w:r>
    </w:p>
    <w:p w14:paraId="04CE08CF">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（二）公共查阅场所</w:t>
      </w:r>
    </w:p>
    <w:p w14:paraId="15A99CE4">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000000"/>
          <w:kern w:val="0"/>
          <w:sz w:val="36"/>
          <w:szCs w:val="36"/>
        </w:rPr>
        <w:t>我街道在机关大厅设立了接待居民首问责任台，全年接受居民咨询和查阅信息千余次，并设立触摸屏等便民措施，在宣传材料取阅台发放信息公开宣传材料百余份及其他宣传材料。</w:t>
      </w:r>
    </w:p>
    <w:p w14:paraId="3CD0495C">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000000"/>
          <w:kern w:val="0"/>
          <w:sz w:val="36"/>
          <w:szCs w:val="36"/>
        </w:rPr>
        <w:t>本单位截至目前共收到政府信息公开申请0件，未发生费用收支。按照《条例》第33条规定，公民、法人或者其他组织认为行政机关在政府信息公开工作中的具体行政行为侵犯其合法权益的，可以依法申请行政复议或者提起行政诉讼。2012年，针对本单位政府信息公开的行政复议申请0件；针对本单位政府信息公开的行政诉讼案0件。</w:t>
      </w:r>
    </w:p>
    <w:p w14:paraId="74EE8169">
      <w:pPr>
        <w:widowControl/>
        <w:shd w:val="clear" w:color="auto" w:fill="FFFFFF"/>
        <w:spacing w:before="312" w:after="312" w:line="560" w:lineRule="atLeast"/>
        <w:jc w:val="center"/>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三、依申请公开情况</w:t>
      </w:r>
    </w:p>
    <w:p w14:paraId="7A0D7DA6">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按照《条例》第13条规定，受理公民、法人或者其他组织根据自身生产、生活、科研等特殊需要提出的政府信息公开申请。</w:t>
      </w:r>
    </w:p>
    <w:p w14:paraId="3F656A23">
      <w:pPr>
        <w:widowControl/>
        <w:shd w:val="clear" w:color="auto" w:fill="FFFFFF"/>
        <w:spacing w:line="56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2012年，针对本街道政府信息公开申请0件。</w:t>
      </w:r>
    </w:p>
    <w:p w14:paraId="5E99589B">
      <w:pPr>
        <w:widowControl/>
        <w:shd w:val="clear" w:color="auto" w:fill="FFFFFF"/>
        <w:spacing w:before="312" w:after="312" w:line="560" w:lineRule="atLeast"/>
        <w:jc w:val="center"/>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四、复议和诉讼情况</w:t>
      </w:r>
    </w:p>
    <w:p w14:paraId="3F6AE898">
      <w:pPr>
        <w:widowControl/>
        <w:shd w:val="clear" w:color="auto" w:fill="FFFFFF"/>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14:paraId="516A9DF6">
      <w:pPr>
        <w:widowControl/>
        <w:shd w:val="clear" w:color="auto" w:fill="FFFFFF"/>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000000"/>
          <w:kern w:val="0"/>
          <w:sz w:val="36"/>
          <w:szCs w:val="36"/>
        </w:rPr>
        <w:t>  2012年，针对本单位政府信息公开的行政复议申请0件；针对本单位政府信息公开的行政诉讼案0件。</w:t>
      </w:r>
    </w:p>
    <w:p w14:paraId="3E4EC2FF">
      <w:pPr>
        <w:widowControl/>
        <w:shd w:val="clear" w:color="auto" w:fill="FFFFFF"/>
        <w:spacing w:before="312" w:after="312" w:line="560" w:lineRule="atLeast"/>
        <w:jc w:val="center"/>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000000"/>
          <w:kern w:val="0"/>
          <w:sz w:val="36"/>
          <w:szCs w:val="36"/>
        </w:rPr>
        <w:t>五、存在不足及改进措施</w:t>
      </w:r>
    </w:p>
    <w:p w14:paraId="15CA4532">
      <w:pPr>
        <w:widowControl/>
        <w:shd w:val="clear" w:color="auto" w:fill="FFFFFF"/>
        <w:spacing w:line="54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我街道将在明年的工作中进一步提高对政务公开工作的认识，切实提高各科室、社区对做好政务、居务公开工作能力，把它作为加强廉政建设的一项重要措施，作为营造辖区良好的经济社会发展环境的大事抓紧抓好。进一步加强对政务居务公开工作的领导和监督，健全有关检查制度、责任追究制度、反馈制度，确保把政务居务公开工作落到实处。进一步提高公开的质量和水平，全面推进党务、政务、居务公开工作上新台阶。进一步规范和完善政务公开工作的内容、形式，对涉及人民群众关心的重大问题、重大决策应及时公开，同时有区别地抓好对内与对外公开，提高公开针对性。进一步做好政务、居务公开资料建档工作，做到政务公开有史可查，经受得起历史考验。</w:t>
      </w:r>
    </w:p>
    <w:p w14:paraId="2156417C">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01772026">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703FA3A0">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3331F555">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596350C6">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7B4FA21E">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2343C3D9">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597CA6C1">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57156218">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5EEF0BA3">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2C4C7948">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447F1CD9">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145DAE23">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41EE8078">
      <w:pPr>
        <w:widowControl/>
        <w:shd w:val="clear" w:color="auto" w:fill="FFFFFF"/>
        <w:spacing w:line="540" w:lineRule="atLeast"/>
        <w:ind w:firstLine="640"/>
        <w:jc w:val="left"/>
        <w:rPr>
          <w:rFonts w:hint="eastAsia" w:ascii="华文仿宋" w:hAnsi="华文仿宋" w:eastAsia="华文仿宋" w:cs="宋体"/>
          <w:color w:val="404040"/>
          <w:kern w:val="0"/>
          <w:sz w:val="36"/>
          <w:szCs w:val="36"/>
        </w:rPr>
      </w:pPr>
    </w:p>
    <w:p w14:paraId="76DA9DBD">
      <w:pPr>
        <w:widowControl/>
        <w:shd w:val="clear" w:color="auto" w:fill="FFFFFF"/>
        <w:spacing w:line="54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附表：</w:t>
      </w:r>
    </w:p>
    <w:p w14:paraId="0AC7384E">
      <w:pPr>
        <w:widowControl/>
        <w:shd w:val="clear" w:color="auto" w:fill="FFFFFF"/>
        <w:spacing w:line="500" w:lineRule="atLeast"/>
        <w:ind w:firstLine="640"/>
        <w:jc w:val="lef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附表一：主动公开政府信息情况统计</w:t>
      </w:r>
    </w:p>
    <w:tbl>
      <w:tblPr>
        <w:tblStyle w:val="5"/>
        <w:tblW w:w="0" w:type="auto"/>
        <w:tblInd w:w="0" w:type="dxa"/>
        <w:shd w:val="clear" w:color="auto" w:fill="FFFFFF"/>
        <w:tblLayout w:type="autofit"/>
        <w:tblCellMar>
          <w:top w:w="0" w:type="dxa"/>
          <w:left w:w="0" w:type="dxa"/>
          <w:bottom w:w="0" w:type="dxa"/>
          <w:right w:w="0" w:type="dxa"/>
        </w:tblCellMar>
      </w:tblPr>
      <w:tblGrid>
        <w:gridCol w:w="5148"/>
        <w:gridCol w:w="1080"/>
        <w:gridCol w:w="2294"/>
      </w:tblGrid>
      <w:tr w14:paraId="78E79C59">
        <w:tblPrEx>
          <w:tblCellMar>
            <w:top w:w="0" w:type="dxa"/>
            <w:left w:w="0" w:type="dxa"/>
            <w:bottom w:w="0" w:type="dxa"/>
            <w:right w:w="0" w:type="dxa"/>
          </w:tblCellMar>
        </w:tblPrEx>
        <w:tc>
          <w:tcPr>
            <w:tcW w:w="51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A5CE5FD">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指标</w:t>
            </w:r>
          </w:p>
        </w:tc>
        <w:tc>
          <w:tcPr>
            <w:tcW w:w="108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0B2CCB6D">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单位</w:t>
            </w:r>
          </w:p>
        </w:tc>
        <w:tc>
          <w:tcPr>
            <w:tcW w:w="229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795CCCF2">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数量</w:t>
            </w:r>
          </w:p>
        </w:tc>
      </w:tr>
      <w:tr w14:paraId="1753191E">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7C8A9F3">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主动公开政府信息数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A805C6C">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条</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61F56CA">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000000"/>
                <w:kern w:val="0"/>
                <w:sz w:val="32"/>
                <w:szCs w:val="32"/>
              </w:rPr>
              <w:t>85</w:t>
            </w:r>
          </w:p>
        </w:tc>
      </w:tr>
      <w:tr w14:paraId="61295764">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9C2F3F6">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其中：全文电子化政府信息数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35EDAC9">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条</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26F9D04">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85</w:t>
            </w:r>
          </w:p>
        </w:tc>
      </w:tr>
    </w:tbl>
    <w:p w14:paraId="0BECC7C3">
      <w:pPr>
        <w:widowControl/>
        <w:shd w:val="clear" w:color="auto" w:fill="FFFFFF"/>
        <w:spacing w:before="156" w:line="500" w:lineRule="atLeast"/>
        <w:ind w:firstLine="640"/>
        <w:jc w:val="left"/>
        <w:rPr>
          <w:rFonts w:hint="eastAsia" w:ascii="微软雅黑" w:hAnsi="微软雅黑" w:eastAsia="微软雅黑" w:cs="宋体"/>
          <w:color w:val="404040"/>
          <w:kern w:val="0"/>
          <w:sz w:val="24"/>
          <w:szCs w:val="24"/>
        </w:rPr>
      </w:pPr>
      <w:r>
        <w:rPr>
          <w:rFonts w:hint="eastAsia" w:ascii="仿宋" w:hAnsi="仿宋" w:eastAsia="仿宋" w:cs="宋体"/>
          <w:color w:val="404040"/>
          <w:kern w:val="0"/>
          <w:sz w:val="36"/>
          <w:szCs w:val="36"/>
        </w:rPr>
        <w:t>附表二：依申请公开政府信息情况统计</w:t>
      </w:r>
    </w:p>
    <w:tbl>
      <w:tblPr>
        <w:tblStyle w:val="5"/>
        <w:tblW w:w="0" w:type="auto"/>
        <w:tblInd w:w="0" w:type="dxa"/>
        <w:shd w:val="clear" w:color="auto" w:fill="FFFFFF"/>
        <w:tblLayout w:type="autofit"/>
        <w:tblCellMar>
          <w:top w:w="0" w:type="dxa"/>
          <w:left w:w="0" w:type="dxa"/>
          <w:bottom w:w="0" w:type="dxa"/>
          <w:right w:w="0" w:type="dxa"/>
        </w:tblCellMar>
      </w:tblPr>
      <w:tblGrid>
        <w:gridCol w:w="5148"/>
        <w:gridCol w:w="1080"/>
        <w:gridCol w:w="2294"/>
      </w:tblGrid>
      <w:tr w14:paraId="2E0F320D">
        <w:tblPrEx>
          <w:tblCellMar>
            <w:top w:w="0" w:type="dxa"/>
            <w:left w:w="0" w:type="dxa"/>
            <w:bottom w:w="0" w:type="dxa"/>
            <w:right w:w="0" w:type="dxa"/>
          </w:tblCellMar>
        </w:tblPrEx>
        <w:tc>
          <w:tcPr>
            <w:tcW w:w="51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D09A64F">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指标</w:t>
            </w:r>
          </w:p>
        </w:tc>
        <w:tc>
          <w:tcPr>
            <w:tcW w:w="108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49A134F8">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单位</w:t>
            </w:r>
          </w:p>
        </w:tc>
        <w:tc>
          <w:tcPr>
            <w:tcW w:w="229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590F262A">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数量</w:t>
            </w:r>
          </w:p>
        </w:tc>
      </w:tr>
      <w:tr w14:paraId="150BC03D">
        <w:tblPrEx>
          <w:shd w:val="clear" w:color="auto" w:fill="FFFFFF"/>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878E246">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依申请总数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BEC3D22">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0EE6DF9">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61FF855B">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12A8485">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其中：1、当面申请数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AF7CA3D">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1AB6100">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3A239F6A">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F0C5215">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2、互联网申请数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7C9068F">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A78A747">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1DEDEC7F">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22A79D6">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3、传真申请数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24FAB08">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436F6AE">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6F374731">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1E1A40F">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4、信函申请数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E2B5E6C">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52FE9F6">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13020873">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8113B81">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到期已答复总数</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45E4B79">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B3EE10D">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650577C2">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D877CC7">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其中：1、同意公开</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3CE706E">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6A83E93">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6B3F66F0">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494A7BC">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2、不予公开</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51B8E18">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D1BB36D">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30429C8B">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50F0F73">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3、信息不存在</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6AA6108">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A7D1D20">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583E3DD7">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6BD2EFC">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4、非本机关掌握</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B79EE8D">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FFFFAF2">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013615AE">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B73B423">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5、申请内容不明确</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49C0D1D">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D7DF960">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5FBB222B">
        <w:tblPrEx>
          <w:shd w:val="clear" w:color="auto" w:fill="FFFFFF"/>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56A1412">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6、非政府信息</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5F0EB73">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000FD36">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37A5755F">
        <w:tblPrEx>
          <w:tblCellMar>
            <w:top w:w="0" w:type="dxa"/>
            <w:left w:w="0" w:type="dxa"/>
            <w:bottom w:w="0" w:type="dxa"/>
            <w:right w:w="0" w:type="dxa"/>
          </w:tblCellMar>
        </w:tblPrEx>
        <w:tc>
          <w:tcPr>
            <w:tcW w:w="514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4A0FD76">
            <w:pPr>
              <w:widowControl/>
              <w:spacing w:line="500" w:lineRule="atLeast"/>
              <w:jc w:val="left"/>
              <w:rPr>
                <w:rFonts w:ascii="Times New Roman" w:hAnsi="Times New Roman" w:eastAsia="微软雅黑" w:cs="Times New Roman"/>
                <w:color w:val="404040"/>
                <w:kern w:val="0"/>
                <w:sz w:val="32"/>
                <w:szCs w:val="32"/>
              </w:rPr>
            </w:pPr>
            <w:r>
              <w:rPr>
                <w:rFonts w:hint="eastAsia" w:ascii="宋体" w:hAnsi="宋体" w:eastAsia="宋体" w:cs="宋体"/>
                <w:color w:val="404040"/>
                <w:kern w:val="0"/>
                <w:sz w:val="32"/>
                <w:szCs w:val="32"/>
              </w:rPr>
              <w:t>     </w:t>
            </w:r>
            <w:r>
              <w:rPr>
                <w:rFonts w:hint="eastAsia" w:ascii="仿宋" w:hAnsi="仿宋" w:eastAsia="仿宋" w:cs="Times New Roman"/>
                <w:color w:val="404040"/>
                <w:kern w:val="0"/>
                <w:sz w:val="32"/>
                <w:szCs w:val="32"/>
              </w:rPr>
              <w:t xml:space="preserve"> 7、已移送档案馆</w:t>
            </w:r>
          </w:p>
        </w:tc>
        <w:tc>
          <w:tcPr>
            <w:tcW w:w="10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B7D9416">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29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F825D99">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bl>
    <w:p w14:paraId="316AC7B6">
      <w:pPr>
        <w:widowControl/>
        <w:shd w:val="clear" w:color="auto" w:fill="FFFFFF"/>
        <w:spacing w:before="156" w:line="500" w:lineRule="atLeast"/>
        <w:ind w:firstLine="640"/>
        <w:jc w:val="left"/>
        <w:rPr>
          <w:rFonts w:hint="eastAsia" w:ascii="微软雅黑" w:hAnsi="微软雅黑" w:eastAsia="微软雅黑" w:cs="宋体"/>
          <w:color w:val="404040"/>
          <w:kern w:val="0"/>
          <w:sz w:val="24"/>
          <w:szCs w:val="24"/>
        </w:rPr>
      </w:pPr>
      <w:r>
        <w:rPr>
          <w:rFonts w:hint="eastAsia" w:ascii="仿宋" w:hAnsi="仿宋" w:eastAsia="仿宋" w:cs="宋体"/>
          <w:color w:val="404040"/>
          <w:kern w:val="0"/>
          <w:sz w:val="36"/>
          <w:szCs w:val="36"/>
        </w:rPr>
        <w:t>附表三：复议、诉讼及举报情况统计表</w:t>
      </w:r>
    </w:p>
    <w:tbl>
      <w:tblPr>
        <w:tblStyle w:val="5"/>
        <w:tblW w:w="0" w:type="auto"/>
        <w:tblInd w:w="0" w:type="dxa"/>
        <w:shd w:val="clear" w:color="auto" w:fill="FFFFFF"/>
        <w:tblLayout w:type="autofit"/>
        <w:tblCellMar>
          <w:top w:w="0" w:type="dxa"/>
          <w:left w:w="0" w:type="dxa"/>
          <w:bottom w:w="0" w:type="dxa"/>
          <w:right w:w="0" w:type="dxa"/>
        </w:tblCellMar>
      </w:tblPr>
      <w:tblGrid>
        <w:gridCol w:w="5142"/>
        <w:gridCol w:w="1084"/>
        <w:gridCol w:w="2296"/>
      </w:tblGrid>
      <w:tr w14:paraId="65976A0F">
        <w:tblPrEx>
          <w:shd w:val="clear" w:color="auto" w:fill="FFFFFF"/>
          <w:tblCellMar>
            <w:top w:w="0" w:type="dxa"/>
            <w:left w:w="0" w:type="dxa"/>
            <w:bottom w:w="0" w:type="dxa"/>
            <w:right w:w="0" w:type="dxa"/>
          </w:tblCellMar>
        </w:tblPrEx>
        <w:trPr>
          <w:trHeight w:val="420" w:hRule="atLeast"/>
        </w:trPr>
        <w:tc>
          <w:tcPr>
            <w:tcW w:w="52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F033D20">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指标</w:t>
            </w:r>
          </w:p>
        </w:tc>
        <w:tc>
          <w:tcPr>
            <w:tcW w:w="109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6086A728">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单位</w:t>
            </w:r>
          </w:p>
        </w:tc>
        <w:tc>
          <w:tcPr>
            <w:tcW w:w="232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18B17D95">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数量</w:t>
            </w:r>
          </w:p>
        </w:tc>
      </w:tr>
      <w:tr w14:paraId="5B791B83">
        <w:tblPrEx>
          <w:tblCellMar>
            <w:top w:w="0" w:type="dxa"/>
            <w:left w:w="0" w:type="dxa"/>
            <w:bottom w:w="0" w:type="dxa"/>
            <w:right w:w="0" w:type="dxa"/>
          </w:tblCellMar>
        </w:tblPrEx>
        <w:trPr>
          <w:trHeight w:val="438" w:hRule="atLeast"/>
        </w:trPr>
        <w:tc>
          <w:tcPr>
            <w:tcW w:w="520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73531F7">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复议数</w:t>
            </w:r>
          </w:p>
        </w:tc>
        <w:tc>
          <w:tcPr>
            <w:tcW w:w="10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4B7D71D">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32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58D3FD8">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55F6BD4B">
        <w:tblPrEx>
          <w:tblCellMar>
            <w:top w:w="0" w:type="dxa"/>
            <w:left w:w="0" w:type="dxa"/>
            <w:bottom w:w="0" w:type="dxa"/>
            <w:right w:w="0" w:type="dxa"/>
          </w:tblCellMar>
        </w:tblPrEx>
        <w:trPr>
          <w:trHeight w:val="420" w:hRule="atLeast"/>
        </w:trPr>
        <w:tc>
          <w:tcPr>
            <w:tcW w:w="520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6E717F3">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诉讼数</w:t>
            </w:r>
          </w:p>
        </w:tc>
        <w:tc>
          <w:tcPr>
            <w:tcW w:w="10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24B2AC2">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32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70657BD">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r w14:paraId="477E2017">
        <w:tblPrEx>
          <w:tblCellMar>
            <w:top w:w="0" w:type="dxa"/>
            <w:left w:w="0" w:type="dxa"/>
            <w:bottom w:w="0" w:type="dxa"/>
            <w:right w:w="0" w:type="dxa"/>
          </w:tblCellMar>
        </w:tblPrEx>
        <w:trPr>
          <w:trHeight w:val="438" w:hRule="atLeast"/>
        </w:trPr>
        <w:tc>
          <w:tcPr>
            <w:tcW w:w="520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5D49505">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举报数</w:t>
            </w:r>
          </w:p>
        </w:tc>
        <w:tc>
          <w:tcPr>
            <w:tcW w:w="10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930B30E">
            <w:pPr>
              <w:widowControl/>
              <w:spacing w:line="500" w:lineRule="atLeast"/>
              <w:jc w:val="left"/>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件</w:t>
            </w:r>
          </w:p>
        </w:tc>
        <w:tc>
          <w:tcPr>
            <w:tcW w:w="232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887F2AA">
            <w:pPr>
              <w:widowControl/>
              <w:spacing w:line="500" w:lineRule="atLeast"/>
              <w:jc w:val="center"/>
              <w:rPr>
                <w:rFonts w:ascii="Times New Roman" w:hAnsi="Times New Roman" w:eastAsia="微软雅黑" w:cs="Times New Roman"/>
                <w:color w:val="404040"/>
                <w:kern w:val="0"/>
                <w:sz w:val="32"/>
                <w:szCs w:val="32"/>
              </w:rPr>
            </w:pPr>
            <w:r>
              <w:rPr>
                <w:rFonts w:hint="eastAsia" w:ascii="仿宋" w:hAnsi="仿宋" w:eastAsia="仿宋" w:cs="Times New Roman"/>
                <w:color w:val="404040"/>
                <w:kern w:val="0"/>
                <w:sz w:val="32"/>
                <w:szCs w:val="32"/>
              </w:rPr>
              <w:t>0</w:t>
            </w:r>
          </w:p>
        </w:tc>
      </w:tr>
    </w:tbl>
    <w:p w14:paraId="321AA70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2873167"/>
      <w:docPartObj>
        <w:docPartGallery w:val="autotext"/>
      </w:docPartObj>
    </w:sdtPr>
    <w:sdtContent>
      <w:p w14:paraId="5CFC7AED">
        <w:pPr>
          <w:pStyle w:val="2"/>
          <w:jc w:val="center"/>
        </w:pPr>
        <w:r>
          <w:fldChar w:fldCharType="begin"/>
        </w:r>
        <w:r>
          <w:instrText xml:space="preserve">PAGE   \* MERGEFORMAT</w:instrText>
        </w:r>
        <w:r>
          <w:fldChar w:fldCharType="separate"/>
        </w:r>
        <w:r>
          <w:rPr>
            <w:lang w:val="zh-CN"/>
          </w:rPr>
          <w:t>1</w:t>
        </w:r>
        <w:r>
          <w:fldChar w:fldCharType="end"/>
        </w:r>
      </w:p>
    </w:sdtContent>
  </w:sdt>
  <w:p w14:paraId="5984E04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00BB0FD2"/>
    <w:rsid w:val="00853D1E"/>
    <w:rsid w:val="00BB0FD2"/>
    <w:rsid w:val="00E23B6E"/>
    <w:rsid w:val="017B198A"/>
    <w:rsid w:val="54C03382"/>
    <w:rsid w:val="5D89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3154</Words>
  <Characters>3322</Characters>
  <Lines>26</Lines>
  <Paragraphs>7</Paragraphs>
  <TotalTime>3</TotalTime>
  <ScaleCrop>false</ScaleCrop>
  <LinksUpToDate>false</LinksUpToDate>
  <CharactersWithSpaces>3333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2020-12-17T03:44:00Z</dcterms:created>
  <dc:creator>CWB</dc:creator>
  <cp:lastModifiedBy>86159</cp:lastModifiedBy>
  <dcterms:modified xsi:type="dcterms:W3CDTF">2024-12-13T02:57:37Z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6F4B5F0239814DE297C678F2A518F766_12</vt:lpwstr>
  </property>
</Properties>
</file>