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一、总体情况</w:t>
      </w:r>
      <w:r>
        <w:rPr>
          <w:rFonts w:ascii="Arial" w:hAnsi="Arial" w:cs="Arial"/>
          <w:vanish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，前门街道认真落实《中华人民共和国政府信息公开条例》（以下简称《条例》）,主动围绕中心、服务大局、突出重点、平稳有序推进信息公开工作，为保障公民知情权、参与权和监督权，推进政府依法行政工作，打造服务型、阳光型政府，做出积极的努力，充分发挥政府信息对人民群众生产、生活和经济社会活动的服务作用，提高科学执政、民主执政、依法执政能力和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年来，街道信息公开基础工作扎实推进。根据市、区有关政府信息公开的规定，结合街道实际，进一步加强制度建设，完善了信息公开目录，依申请公开流程，公布了群众监督电话；通过以会代训的方式，进一步向各科室宣传信息公开的重要意义，强化信息公开意识，扩大信息公开范围，主动公开了财政拨款支出预算决算、“三公经费”支出、各类服务事项、突发应急预案及主要工作动态，方便群众获取政府信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tbl>
      <w:tblPr>
        <w:tblStyle w:val="3"/>
        <w:tblW w:w="9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3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ascii="楷体" w:hAnsi="楷体" w:eastAsia="楷体" w:cs="楷体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95"/>
        <w:gridCol w:w="595"/>
        <w:gridCol w:w="788"/>
        <w:gridCol w:w="544"/>
        <w:gridCol w:w="596"/>
        <w:gridCol w:w="596"/>
        <w:gridCol w:w="596"/>
        <w:gridCol w:w="596"/>
        <w:gridCol w:w="596"/>
        <w:gridCol w:w="596"/>
        <w:gridCol w:w="596"/>
        <w:gridCol w:w="597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9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 计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五、政府信息公开工作存在的主要问题及改进情况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一是信息公开工作的开展还不够深入和彻底，一些应公开的内容未能立即予以公开，提高信息传送效率还需我们进一步努力。二是信息公开渠道还有待拓宽，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改进情况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一是加强人员业务培训，提高工作能力和业务水平；二是在不断拓展政府信息公开的宽度和广度的同时，进一步规范政府信息公开的程序；三是在强化信息的时效性和实现工作规范化等方面下功夫，及时更新信息内容、提高信息质量，使社会公众能更方便、及时地获取丰富的政府信息。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北京市东城区人民政府门户网站（“数字东城”）网址为http://www.bjdch.gov.cn/，如需了解更多政府信息，请登录查询。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BiOGI4MTZhNzk4MGQ1OGVmZWE4MmVhYTY5YTNmMDAifQ=="/>
    <w:docVar w:name="KSO_WPS_MARK_KEY" w:val="74f2ee6d-a9f0-4a3c-9d7a-4e4f371767fa"/>
  </w:docVars>
  <w:rsids>
    <w:rsidRoot w:val="00172A27"/>
    <w:rsid w:val="034938DB"/>
    <w:rsid w:val="0E0872D5"/>
    <w:rsid w:val="3D8A3804"/>
    <w:rsid w:val="48441536"/>
    <w:rsid w:val="4CA3708B"/>
    <w:rsid w:val="51672B5C"/>
    <w:rsid w:val="5700538C"/>
    <w:rsid w:val="616F3EDD"/>
    <w:rsid w:val="6956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1389</Words>
  <Characters>1434</Characters>
  <Lines>1</Lines>
  <Paragraphs>1</Paragraphs>
  <TotalTime>0</TotalTime>
  <ScaleCrop>false</ScaleCrop>
  <LinksUpToDate>false</LinksUpToDate>
  <CharactersWithSpaces>1452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win10</dc:creator>
  <cp:lastModifiedBy>名字不重要</cp:lastModifiedBy>
  <dcterms:modified xsi:type="dcterms:W3CDTF">2023-05-15T10:55:36Z</dcterms:modified>
  <dc:title>一、总体情况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AFBCBD37DB6743B9AA4D1E86DDFBF6A3</vt:lpwstr>
  </property>
</Properties>
</file>