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sz w:val="44"/>
          <w:szCs w:val="44"/>
          <w:u w:val="none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sz w:val="44"/>
          <w:szCs w:val="44"/>
          <w:u w:val="none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  <w:t>北京市东城区北新桥街道办事处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sz w:val="44"/>
          <w:szCs w:val="44"/>
          <w:u w:val="none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sz w:val="44"/>
          <w:szCs w:val="44"/>
          <w:u w:val="none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  <w:t>2010年政府信息公开年度报告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/>
        <w:jc w:val="center"/>
        <w:outlineLvl w:val="9"/>
        <w:rPr>
          <w:rFonts w:ascii="黑体" w:hAnsi="宋体" w:eastAsia="黑体" w:cs="黑体"/>
          <w:i w:val="0"/>
          <w:color w:val="000000" w:themeColor="text1"/>
          <w:sz w:val="32"/>
          <w:szCs w:val="32"/>
          <w:u w:val="none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/>
        <w:jc w:val="center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i w:val="0"/>
          <w:color w:val="000000" w:themeColor="text1"/>
          <w:sz w:val="32"/>
          <w:szCs w:val="32"/>
          <w:u w:val="none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  <w:t>引</w:t>
      </w:r>
      <w:r>
        <w:rPr>
          <w:rFonts w:hint="eastAsia" w:ascii="黑体" w:hAnsi="宋体" w:eastAsia="黑体" w:cs="黑体"/>
          <w:i w:val="0"/>
          <w:color w:val="000000" w:themeColor="text1"/>
          <w:sz w:val="32"/>
          <w:szCs w:val="32"/>
          <w:u w:val="none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  <w:t xml:space="preserve"> 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本报告是根据《中华人民共和国政府信息公开条例》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以下简称《条例》）要求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，由北京市东城区北新桥街道办事处编制的2010年度政府信息公开年度报告。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政府信息公开工作存在不足及改进措施。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报告中所列数据的统计期限自2010年1月1日至2010年10月31日止。在数字东城网站，进入后选取街道政府部门栏的“北新桥街道”上可下载本报告的电子版。如对本报告有任何疑问，请与北新桥街道办事处办公室联系（地址：东城区草园胡同6号；邮编：100007；电话：010—64043994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一、概述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根据《条例》要求，自200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8年5月1日起我街道开始开展政府信息公开工作。为此，专门配备了3职工作人员，设立了1个专门的信息申请受理点。截至目前，我街道政府信息公开工作运行正常，政府信息公开咨询、申请以及答复工作均得到了顺利开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二、政府信息主动公开情况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ascii="楷体_GB2312" w:hAnsi="宋体" w:eastAsia="楷体_GB2312" w:cs="楷体_GB2312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（一）公开情况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本街道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2010主动公开政府信息613中全文电子化率达100%。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在主动公开的信息中，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规划计划类信息5，占总体的比例为0.08%，业务动态类信息608条，占总体的比例为99.92%。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街道主动公开的政府信息，主要包括以下几个方面：一是涉及公民、法人或者其他组织切身利益的；二是需要社会公众广泛知晓或者参与的重要信息公开的情况；三是街道所开展各项活动的信息。上述政府信息的公开，对保障公民的知情权，打造透明政府具有促进意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（二）公开形式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在主动公开的信息中，为方便公众了解信息，本街道在主动公开政府信息主要采取政府信息公开大厅、信息查阅点、电子屏幕、便民手册、服务指南等公开形式进行公开。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三、政府信息依申请公开情况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本街道2010年度未收到政府信息公开申请。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四、人员和收支情况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（一）工作人员情况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本机关从事政府信息公开工作的兼职人员共有3人。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（二）依申请公开政府信息收费情况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2010年，本机关未收到政府信息公开申请，也未收取依申请提供政府信息的检索、复印、邮递等费用。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五、咨询情况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2010年，本街道未接到公民、法人及其他组织政府信息公开方面的咨询。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六、行政复议和行政诉讼情况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2010年，针对本街道没有发生因政府信息公开引发的行政复议，也未发生针对本街道政府信息公开的行政诉讼案件。也未发生针对本街道政府信息公开的申诉案件。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在新的一年里，北新桥街道信息公开工作将紧紧围绕中心任务，严格落实信息公开各项部署，切实保障群众依法获取政府信息，为信息公开工作再上新台阶、建设法治型服务型街道做出新的成绩。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right"/>
        <w:textAlignment w:val="baseline"/>
        <w:outlineLvl w:val="9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right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北京市东城区人民政府北新桥街道办事处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/>
        <w:jc w:val="right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2011年3月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E4521"/>
    <w:rsid w:val="7BE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2020-12-18T02:29:00Z</dcterms:created>
  <dc:creator>石泽明</dc:creator>
  <cp:lastModifiedBy>石泽明</cp:lastModifiedBy>
  <dcterms:modified xsi:type="dcterms:W3CDTF">2020-12-18T02:30:57Z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