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附件4</w:t>
      </w:r>
    </w:p>
    <w:p>
      <w:pPr>
        <w:spacing w:before="312" w:beforeLines="100" w:after="312" w:afterLines="10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东城区土壤污染防治2023年行动计划</w:t>
      </w:r>
    </w:p>
    <w:tbl>
      <w:tblPr>
        <w:tblStyle w:val="2"/>
        <w:tblW w:w="0" w:type="auto"/>
        <w:jc w:val="center"/>
        <w:tblLayout w:type="fixed"/>
        <w:tblCellMar>
          <w:top w:w="0" w:type="dxa"/>
          <w:left w:w="108" w:type="dxa"/>
          <w:bottom w:w="0" w:type="dxa"/>
          <w:right w:w="108" w:type="dxa"/>
        </w:tblCellMar>
      </w:tblPr>
      <w:tblGrid>
        <w:gridCol w:w="786"/>
        <w:gridCol w:w="1378"/>
        <w:gridCol w:w="6278"/>
        <w:gridCol w:w="1380"/>
        <w:gridCol w:w="1980"/>
        <w:gridCol w:w="2166"/>
      </w:tblGrid>
      <w:tr>
        <w:tblPrEx>
          <w:tblCellMar>
            <w:top w:w="0" w:type="dxa"/>
            <w:left w:w="108" w:type="dxa"/>
            <w:bottom w:w="0" w:type="dxa"/>
            <w:right w:w="108" w:type="dxa"/>
          </w:tblCellMar>
        </w:tblPrEx>
        <w:trPr>
          <w:trHeight w:val="465" w:hRule="atLeast"/>
          <w:tblHeader/>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黑体"/>
                <w:snapToGrid w:val="0"/>
                <w:color w:val="000000"/>
                <w:kern w:val="0"/>
                <w:sz w:val="28"/>
                <w:szCs w:val="28"/>
              </w:rPr>
            </w:pPr>
            <w:r>
              <w:rPr>
                <w:rFonts w:eastAsia="黑体"/>
                <w:snapToGrid w:val="0"/>
                <w:color w:val="000000"/>
                <w:kern w:val="0"/>
                <w:sz w:val="28"/>
                <w:szCs w:val="28"/>
              </w:rPr>
              <w:t>序号</w:t>
            </w:r>
          </w:p>
        </w:tc>
        <w:tc>
          <w:tcPr>
            <w:tcW w:w="137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snapToGrid w:val="0"/>
                <w:color w:val="000000"/>
                <w:kern w:val="0"/>
                <w:sz w:val="28"/>
                <w:szCs w:val="28"/>
              </w:rPr>
            </w:pPr>
            <w:r>
              <w:rPr>
                <w:rFonts w:eastAsia="黑体"/>
                <w:snapToGrid w:val="0"/>
                <w:color w:val="000000"/>
                <w:kern w:val="0"/>
                <w:sz w:val="28"/>
                <w:szCs w:val="28"/>
              </w:rPr>
              <w:t>重点任务</w:t>
            </w:r>
          </w:p>
        </w:tc>
        <w:tc>
          <w:tcPr>
            <w:tcW w:w="6278"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snapToGrid w:val="0"/>
                <w:color w:val="000000"/>
                <w:kern w:val="0"/>
                <w:sz w:val="28"/>
                <w:szCs w:val="28"/>
              </w:rPr>
            </w:pPr>
            <w:r>
              <w:rPr>
                <w:rFonts w:eastAsia="黑体"/>
                <w:snapToGrid w:val="0"/>
                <w:color w:val="000000"/>
                <w:kern w:val="0"/>
                <w:sz w:val="28"/>
                <w:szCs w:val="28"/>
              </w:rPr>
              <w:t>工作措施</w:t>
            </w:r>
          </w:p>
        </w:tc>
        <w:tc>
          <w:tcPr>
            <w:tcW w:w="138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snapToGrid w:val="0"/>
                <w:color w:val="000000"/>
                <w:kern w:val="0"/>
                <w:sz w:val="28"/>
                <w:szCs w:val="28"/>
              </w:rPr>
            </w:pPr>
            <w:r>
              <w:rPr>
                <w:rFonts w:eastAsia="黑体"/>
                <w:snapToGrid w:val="0"/>
                <w:color w:val="000000"/>
                <w:kern w:val="0"/>
                <w:sz w:val="28"/>
                <w:szCs w:val="28"/>
              </w:rPr>
              <w:t>完成时限</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snapToGrid w:val="0"/>
                <w:color w:val="000000"/>
                <w:kern w:val="0"/>
                <w:sz w:val="28"/>
                <w:szCs w:val="28"/>
              </w:rPr>
            </w:pPr>
            <w:r>
              <w:rPr>
                <w:rFonts w:eastAsia="黑体"/>
                <w:snapToGrid w:val="0"/>
                <w:color w:val="000000"/>
                <w:kern w:val="0"/>
                <w:sz w:val="28"/>
                <w:szCs w:val="28"/>
              </w:rPr>
              <w:t>牵头部门</w:t>
            </w:r>
          </w:p>
        </w:tc>
        <w:tc>
          <w:tcPr>
            <w:tcW w:w="2166"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eastAsia="黑体"/>
                <w:snapToGrid w:val="0"/>
                <w:color w:val="000000"/>
                <w:kern w:val="0"/>
                <w:sz w:val="28"/>
                <w:szCs w:val="28"/>
              </w:rPr>
            </w:pPr>
            <w:r>
              <w:rPr>
                <w:rFonts w:eastAsia="黑体"/>
                <w:snapToGrid w:val="0"/>
                <w:color w:val="000000"/>
                <w:kern w:val="0"/>
                <w:sz w:val="28"/>
                <w:szCs w:val="28"/>
              </w:rPr>
              <w:t>协办部门</w:t>
            </w:r>
          </w:p>
        </w:tc>
      </w:tr>
      <w:tr>
        <w:tblPrEx>
          <w:tblCellMar>
            <w:top w:w="0" w:type="dxa"/>
            <w:left w:w="108" w:type="dxa"/>
            <w:bottom w:w="0" w:type="dxa"/>
            <w:right w:w="108" w:type="dxa"/>
          </w:tblCellMar>
        </w:tblPrEx>
        <w:trPr>
          <w:trHeight w:val="567" w:hRule="atLeast"/>
          <w:jc w:val="center"/>
        </w:trPr>
        <w:tc>
          <w:tcPr>
            <w:tcW w:w="13968"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360" w:lineRule="exact"/>
              <w:jc w:val="center"/>
              <w:rPr>
                <w:rFonts w:eastAsia="黑体"/>
                <w:bCs/>
                <w:snapToGrid w:val="0"/>
                <w:color w:val="000000"/>
                <w:kern w:val="0"/>
                <w:sz w:val="28"/>
                <w:szCs w:val="28"/>
              </w:rPr>
            </w:pPr>
            <w:r>
              <w:rPr>
                <w:rFonts w:eastAsia="黑体"/>
                <w:bCs/>
                <w:snapToGrid w:val="0"/>
                <w:color w:val="000000"/>
                <w:kern w:val="0"/>
                <w:sz w:val="28"/>
                <w:szCs w:val="28"/>
              </w:rPr>
              <w:t>一、土壤污染防治目标</w:t>
            </w:r>
          </w:p>
        </w:tc>
      </w:tr>
      <w:tr>
        <w:tblPrEx>
          <w:tblCellMar>
            <w:top w:w="0" w:type="dxa"/>
            <w:left w:w="108" w:type="dxa"/>
            <w:bottom w:w="0" w:type="dxa"/>
            <w:right w:w="108" w:type="dxa"/>
          </w:tblCellMar>
        </w:tblPrEx>
        <w:trPr>
          <w:trHeight w:val="2959"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bCs/>
                <w:snapToGrid w:val="0"/>
                <w:color w:val="000000"/>
                <w:kern w:val="0"/>
                <w:sz w:val="28"/>
                <w:szCs w:val="28"/>
              </w:rPr>
            </w:pPr>
            <w:r>
              <w:rPr>
                <w:rFonts w:eastAsia="仿宋_GB2312"/>
                <w:bCs/>
                <w:snapToGrid w:val="0"/>
                <w:color w:val="000000"/>
                <w:kern w:val="0"/>
                <w:sz w:val="28"/>
                <w:szCs w:val="28"/>
              </w:rPr>
              <w:t>1</w:t>
            </w:r>
          </w:p>
        </w:tc>
        <w:tc>
          <w:tcPr>
            <w:tcW w:w="1378"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jc w:val="center"/>
              <w:rPr>
                <w:rFonts w:eastAsia="仿宋_GB2312"/>
                <w:bCs/>
                <w:snapToGrid w:val="0"/>
                <w:color w:val="000000"/>
                <w:kern w:val="0"/>
                <w:sz w:val="28"/>
                <w:szCs w:val="28"/>
              </w:rPr>
            </w:pPr>
            <w:r>
              <w:rPr>
                <w:rFonts w:eastAsia="仿宋_GB2312"/>
                <w:bCs/>
                <w:snapToGrid w:val="0"/>
                <w:color w:val="000000"/>
                <w:kern w:val="0"/>
                <w:sz w:val="28"/>
                <w:szCs w:val="28"/>
              </w:rPr>
              <w:t>目标任务</w:t>
            </w:r>
          </w:p>
        </w:tc>
        <w:tc>
          <w:tcPr>
            <w:tcW w:w="6278"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rPr>
                <w:rFonts w:eastAsia="仿宋_GB2312"/>
                <w:b/>
                <w:bCs/>
                <w:snapToGrid w:val="0"/>
                <w:color w:val="000000"/>
                <w:kern w:val="0"/>
                <w:sz w:val="28"/>
                <w:szCs w:val="28"/>
              </w:rPr>
            </w:pPr>
            <w:r>
              <w:rPr>
                <w:rFonts w:hint="eastAsia" w:eastAsia="仿宋_GB2312"/>
                <w:color w:val="000000"/>
                <w:kern w:val="0"/>
                <w:sz w:val="28"/>
                <w:szCs w:val="28"/>
              </w:rPr>
              <w:t>加强土壤污染源头防控，建设用地土壤环境风险得到有效管控。土壤环境质量保持良好。</w:t>
            </w:r>
          </w:p>
        </w:tc>
        <w:tc>
          <w:tcPr>
            <w:tcW w:w="138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jc w:val="center"/>
              <w:rPr>
                <w:rFonts w:eastAsia="仿宋_GB2312"/>
                <w:b/>
                <w:bCs/>
                <w:snapToGrid w:val="0"/>
                <w:color w:val="000000"/>
                <w:kern w:val="0"/>
                <w:sz w:val="28"/>
                <w:szCs w:val="28"/>
              </w:rPr>
            </w:pPr>
            <w:r>
              <w:rPr>
                <w:rFonts w:eastAsia="仿宋_GB2312"/>
                <w:snapToGrid w:val="0"/>
                <w:color w:val="000000"/>
                <w:kern w:val="0"/>
                <w:sz w:val="28"/>
                <w:szCs w:val="28"/>
              </w:rPr>
              <w:t>年底前</w:t>
            </w:r>
          </w:p>
        </w:tc>
        <w:tc>
          <w:tcPr>
            <w:tcW w:w="1980" w:type="dxa"/>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区园林绿化局</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区住建委</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区城管委</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区科信局</w:t>
            </w:r>
          </w:p>
          <w:p>
            <w:pPr>
              <w:widowControl/>
              <w:spacing w:line="32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各街道（地区）</w:t>
            </w:r>
          </w:p>
        </w:tc>
      </w:tr>
      <w:tr>
        <w:tblPrEx>
          <w:tblCellMar>
            <w:top w:w="0" w:type="dxa"/>
            <w:left w:w="108" w:type="dxa"/>
            <w:bottom w:w="0" w:type="dxa"/>
            <w:right w:w="108" w:type="dxa"/>
          </w:tblCellMar>
        </w:tblPrEx>
        <w:trPr>
          <w:trHeight w:val="567" w:hRule="atLeast"/>
          <w:jc w:val="center"/>
        </w:trPr>
        <w:tc>
          <w:tcPr>
            <w:tcW w:w="13968" w:type="dxa"/>
            <w:gridSpan w:val="6"/>
            <w:tcBorders>
              <w:top w:val="single" w:color="auto" w:sz="4" w:space="0"/>
              <w:left w:val="single" w:color="auto" w:sz="4" w:space="0"/>
              <w:bottom w:val="single" w:color="auto" w:sz="4" w:space="0"/>
              <w:right w:val="single" w:color="000000" w:sz="4" w:space="0"/>
            </w:tcBorders>
            <w:noWrap w:val="0"/>
            <w:vAlign w:val="center"/>
          </w:tcPr>
          <w:p>
            <w:pPr>
              <w:widowControl/>
              <w:spacing w:line="320" w:lineRule="exact"/>
              <w:jc w:val="center"/>
              <w:rPr>
                <w:rFonts w:eastAsia="黑体"/>
                <w:bCs/>
                <w:snapToGrid w:val="0"/>
                <w:color w:val="000000"/>
                <w:kern w:val="0"/>
                <w:sz w:val="28"/>
                <w:szCs w:val="28"/>
              </w:rPr>
            </w:pPr>
            <w:r>
              <w:rPr>
                <w:rFonts w:hint="eastAsia" w:eastAsia="黑体"/>
                <w:bCs/>
                <w:snapToGrid w:val="0"/>
                <w:color w:val="000000"/>
                <w:kern w:val="0"/>
                <w:sz w:val="28"/>
                <w:szCs w:val="28"/>
              </w:rPr>
              <w:t>二、全面加强建设用地风险防控</w:t>
            </w:r>
          </w:p>
        </w:tc>
      </w:tr>
      <w:tr>
        <w:tblPrEx>
          <w:tblCellMar>
            <w:top w:w="0" w:type="dxa"/>
            <w:left w:w="108" w:type="dxa"/>
            <w:bottom w:w="0" w:type="dxa"/>
            <w:right w:w="108" w:type="dxa"/>
          </w:tblCellMar>
        </w:tblPrEx>
        <w:trPr>
          <w:trHeight w:val="2797"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2</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hint="eastAsia" w:eastAsia="仿宋_GB2312"/>
                <w:bCs/>
                <w:snapToGrid w:val="0"/>
                <w:color w:val="000000"/>
                <w:kern w:val="0"/>
                <w:sz w:val="28"/>
                <w:szCs w:val="28"/>
              </w:rPr>
              <w:t>保障建设用地土壤环境安全</w:t>
            </w:r>
          </w:p>
        </w:tc>
        <w:tc>
          <w:tcPr>
            <w:tcW w:w="627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eastAsia="仿宋_GB2312"/>
                <w:snapToGrid w:val="0"/>
                <w:color w:val="000000"/>
                <w:kern w:val="0"/>
                <w:sz w:val="28"/>
                <w:szCs w:val="28"/>
              </w:rPr>
            </w:pPr>
            <w:r>
              <w:rPr>
                <w:rFonts w:hint="eastAsia" w:eastAsia="仿宋_GB2312"/>
                <w:color w:val="000000"/>
                <w:kern w:val="0"/>
                <w:sz w:val="28"/>
                <w:szCs w:val="28"/>
              </w:rPr>
              <w:t>土壤污染风险得到有效保障，辖区建设用地安全利用率达到100%，污染地块安全利用率达到95%以上。</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长期实施</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kern w:val="0"/>
                <w:sz w:val="28"/>
                <w:szCs w:val="28"/>
              </w:rPr>
              <w:t>区住建委</w:t>
            </w:r>
          </w:p>
        </w:tc>
      </w:tr>
      <w:tr>
        <w:tblPrEx>
          <w:tblCellMar>
            <w:top w:w="0" w:type="dxa"/>
            <w:left w:w="108" w:type="dxa"/>
            <w:bottom w:w="0" w:type="dxa"/>
            <w:right w:w="108" w:type="dxa"/>
          </w:tblCellMar>
        </w:tblPrEx>
        <w:trPr>
          <w:trHeight w:val="2499" w:hRule="atLeast"/>
          <w:jc w:val="center"/>
        </w:trPr>
        <w:tc>
          <w:tcPr>
            <w:tcW w:w="78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3</w:t>
            </w:r>
          </w:p>
          <w:p>
            <w:pPr>
              <w:widowControl/>
              <w:spacing w:line="360" w:lineRule="exact"/>
              <w:jc w:val="center"/>
              <w:rPr>
                <w:rFonts w:eastAsia="仿宋_GB2312"/>
                <w:snapToGrid w:val="0"/>
                <w:color w:val="000000"/>
                <w:kern w:val="0"/>
                <w:sz w:val="28"/>
                <w:szCs w:val="28"/>
              </w:rPr>
            </w:pPr>
          </w:p>
        </w:tc>
        <w:tc>
          <w:tcPr>
            <w:tcW w:w="1378" w:type="dxa"/>
            <w:vMerge w:val="restart"/>
            <w:tcBorders>
              <w:top w:val="single" w:color="auto" w:sz="4" w:space="0"/>
              <w:left w:val="nil"/>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hint="eastAsia" w:eastAsia="仿宋_GB2312"/>
                <w:color w:val="000000"/>
                <w:sz w:val="28"/>
                <w:szCs w:val="28"/>
              </w:rPr>
              <w:t>加强土壤污染工业源头防控</w:t>
            </w:r>
          </w:p>
        </w:tc>
        <w:tc>
          <w:tcPr>
            <w:tcW w:w="6278" w:type="dxa"/>
            <w:tcBorders>
              <w:top w:val="nil"/>
              <w:left w:val="nil"/>
              <w:bottom w:val="single" w:color="auto" w:sz="4" w:space="0"/>
              <w:right w:val="single" w:color="auto" w:sz="4" w:space="0"/>
            </w:tcBorders>
            <w:noWrap w:val="0"/>
            <w:vAlign w:val="center"/>
          </w:tcPr>
          <w:p>
            <w:pPr>
              <w:widowControl/>
              <w:snapToGrid w:val="0"/>
              <w:spacing w:line="320" w:lineRule="exact"/>
              <w:rPr>
                <w:rFonts w:eastAsia="仿宋_GB2312"/>
                <w:color w:val="000000"/>
                <w:kern w:val="0"/>
                <w:sz w:val="28"/>
                <w:szCs w:val="28"/>
              </w:rPr>
            </w:pPr>
            <w:r>
              <w:rPr>
                <w:rFonts w:hint="eastAsia" w:eastAsia="仿宋_GB2312"/>
                <w:color w:val="000000"/>
                <w:sz w:val="28"/>
                <w:szCs w:val="28"/>
              </w:rPr>
              <w:t>规范管理土壤重点监管单位，更新土壤污染重点监管单位名录，督促、指导、规范重点监管单位履行法定义务，开展隐患排查、自行监测、有毒有害物质排放年度报告，建立土壤和地下水污染防治制度。</w:t>
            </w:r>
          </w:p>
        </w:tc>
        <w:tc>
          <w:tcPr>
            <w:tcW w:w="1380"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区科信局</w:t>
            </w:r>
          </w:p>
        </w:tc>
      </w:tr>
      <w:tr>
        <w:tblPrEx>
          <w:tblCellMar>
            <w:top w:w="0" w:type="dxa"/>
            <w:left w:w="108" w:type="dxa"/>
            <w:bottom w:w="0" w:type="dxa"/>
            <w:right w:w="108" w:type="dxa"/>
          </w:tblCellMar>
        </w:tblPrEx>
        <w:trPr>
          <w:trHeight w:val="2851"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p>
        </w:tc>
        <w:tc>
          <w:tcPr>
            <w:tcW w:w="1378" w:type="dxa"/>
            <w:vMerge w:val="continue"/>
            <w:tcBorders>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p>
        </w:tc>
        <w:tc>
          <w:tcPr>
            <w:tcW w:w="6278" w:type="dxa"/>
            <w:tcBorders>
              <w:top w:val="nil"/>
              <w:left w:val="nil"/>
              <w:bottom w:val="single" w:color="auto" w:sz="4" w:space="0"/>
              <w:right w:val="single" w:color="auto" w:sz="4" w:space="0"/>
            </w:tcBorders>
            <w:noWrap w:val="0"/>
            <w:vAlign w:val="center"/>
          </w:tcPr>
          <w:p>
            <w:pPr>
              <w:widowControl/>
              <w:snapToGrid w:val="0"/>
              <w:spacing w:line="320" w:lineRule="exact"/>
              <w:jc w:val="left"/>
              <w:rPr>
                <w:rFonts w:eastAsia="仿宋_GB2312"/>
                <w:snapToGrid w:val="0"/>
                <w:color w:val="000000"/>
                <w:kern w:val="0"/>
                <w:sz w:val="28"/>
                <w:szCs w:val="28"/>
              </w:rPr>
            </w:pPr>
            <w:r>
              <w:rPr>
                <w:rFonts w:hint="eastAsia" w:eastAsia="仿宋_GB2312"/>
                <w:color w:val="000000"/>
                <w:kern w:val="0"/>
                <w:sz w:val="28"/>
                <w:szCs w:val="28"/>
              </w:rPr>
              <w:t>加强潜在污染工业企业土壤环境管理，督促加油站、储油库等具有储存、输送含有毒有害物质的埋地管道和设施的所有者和运营者采取防渗漏措施，督促埋地储罐的所有者或运营者及时报告埋地储罐基本信息并定期巡查、检修、监测。</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区科信局</w:t>
            </w:r>
          </w:p>
        </w:tc>
      </w:tr>
      <w:tr>
        <w:tblPrEx>
          <w:tblCellMar>
            <w:top w:w="0" w:type="dxa"/>
            <w:left w:w="108" w:type="dxa"/>
            <w:bottom w:w="0" w:type="dxa"/>
            <w:right w:w="108" w:type="dxa"/>
          </w:tblCellMar>
        </w:tblPrEx>
        <w:trPr>
          <w:trHeight w:val="3094"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4</w:t>
            </w:r>
          </w:p>
        </w:tc>
        <w:tc>
          <w:tcPr>
            <w:tcW w:w="1378" w:type="dxa"/>
            <w:tcBorders>
              <w:top w:val="single" w:color="auto" w:sz="4" w:space="0"/>
              <w:left w:val="single" w:color="auto" w:sz="4" w:space="0"/>
              <w:bottom w:val="single" w:color="000000"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hint="eastAsia" w:eastAsia="仿宋_GB2312"/>
                <w:color w:val="000000"/>
                <w:sz w:val="28"/>
                <w:szCs w:val="28"/>
              </w:rPr>
              <w:t>优化建设用地风险防控制度</w:t>
            </w:r>
          </w:p>
        </w:tc>
        <w:tc>
          <w:tcPr>
            <w:tcW w:w="6278" w:type="dxa"/>
            <w:tcBorders>
              <w:top w:val="nil"/>
              <w:left w:val="nil"/>
              <w:bottom w:val="single" w:color="auto" w:sz="4" w:space="0"/>
              <w:right w:val="single" w:color="auto" w:sz="4" w:space="0"/>
            </w:tcBorders>
            <w:noWrap w:val="0"/>
            <w:vAlign w:val="center"/>
          </w:tcPr>
          <w:p>
            <w:pPr>
              <w:widowControl/>
              <w:snapToGrid w:val="0"/>
              <w:spacing w:line="320" w:lineRule="exact"/>
              <w:jc w:val="left"/>
              <w:rPr>
                <w:rFonts w:eastAsia="仿宋_GB2312"/>
                <w:snapToGrid w:val="0"/>
                <w:color w:val="000000"/>
                <w:kern w:val="0"/>
                <w:sz w:val="28"/>
                <w:szCs w:val="28"/>
              </w:rPr>
            </w:pPr>
            <w:r>
              <w:rPr>
                <w:rFonts w:hint="eastAsia" w:eastAsia="仿宋_GB2312"/>
                <w:color w:val="000000"/>
                <w:sz w:val="28"/>
                <w:szCs w:val="28"/>
              </w:rPr>
              <w:t>督促依法调查，在土地使用权收回、转让前，督促依法完成土壤污染状况调查；不涉及土地使用权收回、转让的，在规划指标确定前完成；法规实施前已经收回土地使用权或其他情形，在供地前完成。加强建设用地土壤污染状况调查质量监督检查，逐步增加建设用地安全利用面积。</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持续推进</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p>
            <w:pPr>
              <w:widowControl/>
              <w:spacing w:line="320" w:lineRule="exact"/>
              <w:jc w:val="center"/>
            </w:pPr>
            <w:r>
              <w:rPr>
                <w:rFonts w:eastAsia="仿宋_GB2312"/>
                <w:snapToGrid w:val="0"/>
                <w:color w:val="000000"/>
                <w:kern w:val="0"/>
                <w:sz w:val="28"/>
                <w:szCs w:val="28"/>
              </w:rPr>
              <w:t>区生态环境局</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hint="eastAsia" w:eastAsia="仿宋_GB2312"/>
                <w:sz w:val="28"/>
                <w:szCs w:val="28"/>
              </w:rPr>
              <w:t>——</w:t>
            </w:r>
          </w:p>
        </w:tc>
      </w:tr>
      <w:tr>
        <w:tblPrEx>
          <w:tblCellMar>
            <w:top w:w="0" w:type="dxa"/>
            <w:left w:w="108" w:type="dxa"/>
            <w:bottom w:w="0" w:type="dxa"/>
            <w:right w:w="108" w:type="dxa"/>
          </w:tblCellMar>
        </w:tblPrEx>
        <w:trPr>
          <w:trHeight w:val="1536" w:hRule="atLeast"/>
          <w:jc w:val="center"/>
        </w:trPr>
        <w:tc>
          <w:tcPr>
            <w:tcW w:w="786" w:type="dxa"/>
            <w:vMerge w:val="restart"/>
            <w:tcBorders>
              <w:top w:val="nil"/>
              <w:left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r>
              <w:rPr>
                <w:rFonts w:eastAsia="仿宋_GB2312"/>
                <w:snapToGrid w:val="0"/>
                <w:color w:val="000000"/>
                <w:kern w:val="0"/>
                <w:sz w:val="28"/>
                <w:szCs w:val="28"/>
              </w:rPr>
              <w:t>4</w:t>
            </w:r>
          </w:p>
        </w:tc>
        <w:tc>
          <w:tcPr>
            <w:tcW w:w="1378" w:type="dxa"/>
            <w:vMerge w:val="restart"/>
            <w:tcBorders>
              <w:top w:val="nil"/>
              <w:left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hint="eastAsia" w:eastAsia="仿宋_GB2312"/>
                <w:color w:val="000000"/>
                <w:sz w:val="28"/>
                <w:szCs w:val="28"/>
              </w:rPr>
              <w:t>优化建设用地风险防控制度</w:t>
            </w:r>
          </w:p>
        </w:tc>
        <w:tc>
          <w:tcPr>
            <w:tcW w:w="6278"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left"/>
              <w:rPr>
                <w:rFonts w:eastAsia="仿宋_GB2312"/>
                <w:snapToGrid w:val="0"/>
                <w:color w:val="000000"/>
                <w:kern w:val="0"/>
                <w:sz w:val="28"/>
                <w:szCs w:val="28"/>
              </w:rPr>
            </w:pPr>
            <w:r>
              <w:rPr>
                <w:rFonts w:hint="eastAsia" w:eastAsia="仿宋_GB2312"/>
                <w:color w:val="000000"/>
                <w:sz w:val="28"/>
                <w:szCs w:val="28"/>
              </w:rPr>
              <w:t>开展风险筛查，筛查2022年度关停退出工业企业原址用地，筛选土壤污染风险较高的地块。完善筛查台账，更新地块现状、开发利用情况、土壤污染状况调查等信息。</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tc>
        <w:tc>
          <w:tcPr>
            <w:tcW w:w="2166"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区</w:t>
            </w:r>
            <w:r>
              <w:rPr>
                <w:rFonts w:hint="eastAsia" w:eastAsia="仿宋_GB2312"/>
                <w:snapToGrid w:val="0"/>
                <w:color w:val="000000"/>
                <w:kern w:val="0"/>
                <w:sz w:val="28"/>
                <w:szCs w:val="28"/>
              </w:rPr>
              <w:t>科信局</w:t>
            </w:r>
          </w:p>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规自分局</w:t>
            </w:r>
          </w:p>
        </w:tc>
      </w:tr>
      <w:tr>
        <w:tblPrEx>
          <w:tblCellMar>
            <w:top w:w="0" w:type="dxa"/>
            <w:left w:w="108" w:type="dxa"/>
            <w:bottom w:w="0" w:type="dxa"/>
            <w:right w:w="108" w:type="dxa"/>
          </w:tblCellMar>
        </w:tblPrEx>
        <w:trPr>
          <w:trHeight w:val="2384" w:hRule="atLeast"/>
          <w:jc w:val="center"/>
        </w:trPr>
        <w:tc>
          <w:tcPr>
            <w:tcW w:w="786" w:type="dxa"/>
            <w:vMerge w:val="continue"/>
            <w:tcBorders>
              <w:left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p>
        </w:tc>
        <w:tc>
          <w:tcPr>
            <w:tcW w:w="1378" w:type="dxa"/>
            <w:vMerge w:val="continue"/>
            <w:tcBorders>
              <w:left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p>
        </w:tc>
        <w:tc>
          <w:tcPr>
            <w:tcW w:w="6278" w:type="dxa"/>
            <w:tcBorders>
              <w:top w:val="nil"/>
              <w:left w:val="nil"/>
              <w:bottom w:val="single" w:color="auto" w:sz="4" w:space="0"/>
              <w:right w:val="single" w:color="auto" w:sz="4" w:space="0"/>
            </w:tcBorders>
            <w:noWrap w:val="0"/>
            <w:vAlign w:val="center"/>
          </w:tcPr>
          <w:p>
            <w:pPr>
              <w:widowControl/>
              <w:snapToGrid w:val="0"/>
              <w:spacing w:line="320" w:lineRule="exact"/>
              <w:rPr>
                <w:rFonts w:eastAsia="仿宋_GB2312"/>
                <w:snapToGrid w:val="0"/>
                <w:color w:val="000000"/>
                <w:kern w:val="0"/>
                <w:sz w:val="28"/>
                <w:szCs w:val="28"/>
              </w:rPr>
            </w:pPr>
            <w:r>
              <w:rPr>
                <w:rFonts w:hint="eastAsia" w:eastAsia="仿宋_GB2312"/>
                <w:color w:val="000000"/>
                <w:sz w:val="28"/>
                <w:szCs w:val="28"/>
              </w:rPr>
              <w:t>防控超筛选值地块风险，污染物含量超过建设用地土壤污染风险管控标准筛选值的，督促采取防止污染扩散等风险防范措施。暂不开发利用受污染建设用地，督促编制风险管控方案并实施；拟开发利用受污染建设用地，督促制定风险管控、修复方案并实施。</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规自分局</w:t>
            </w:r>
          </w:p>
        </w:tc>
        <w:tc>
          <w:tcPr>
            <w:tcW w:w="2166"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区住建委</w:t>
            </w:r>
          </w:p>
        </w:tc>
      </w:tr>
      <w:tr>
        <w:tblPrEx>
          <w:tblCellMar>
            <w:top w:w="0" w:type="dxa"/>
            <w:left w:w="108" w:type="dxa"/>
            <w:bottom w:w="0" w:type="dxa"/>
            <w:right w:w="108" w:type="dxa"/>
          </w:tblCellMar>
        </w:tblPrEx>
        <w:trPr>
          <w:trHeight w:val="1358" w:hRule="atLeast"/>
          <w:jc w:val="center"/>
        </w:trPr>
        <w:tc>
          <w:tcPr>
            <w:tcW w:w="786" w:type="dxa"/>
            <w:vMerge w:val="continue"/>
            <w:tcBorders>
              <w:left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p>
        </w:tc>
        <w:tc>
          <w:tcPr>
            <w:tcW w:w="1378" w:type="dxa"/>
            <w:vMerge w:val="continue"/>
            <w:tcBorders>
              <w:left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p>
        </w:tc>
        <w:tc>
          <w:tcPr>
            <w:tcW w:w="62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eastAsia="仿宋_GB2312"/>
                <w:color w:val="000000"/>
                <w:sz w:val="28"/>
                <w:szCs w:val="28"/>
              </w:rPr>
            </w:pPr>
            <w:r>
              <w:rPr>
                <w:rFonts w:hint="eastAsia" w:eastAsia="仿宋_GB2312"/>
                <w:color w:val="000000"/>
                <w:sz w:val="28"/>
                <w:szCs w:val="28"/>
              </w:rPr>
              <w:t>加强风险管控、修复过程监督管理，区生态环境部门加强土壤污染治理监督检查，区住房城市建设部门加强施工安全监督检查。</w:t>
            </w:r>
          </w:p>
        </w:tc>
        <w:tc>
          <w:tcPr>
            <w:tcW w:w="1380"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持续推进</w:t>
            </w:r>
          </w:p>
        </w:tc>
        <w:tc>
          <w:tcPr>
            <w:tcW w:w="1980"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区住建委</w:t>
            </w:r>
          </w:p>
        </w:tc>
        <w:tc>
          <w:tcPr>
            <w:tcW w:w="2166"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hint="eastAsia" w:eastAsia="仿宋_GB2312"/>
                <w:snapToGrid w:val="0"/>
                <w:color w:val="000000"/>
                <w:kern w:val="0"/>
                <w:sz w:val="28"/>
                <w:szCs w:val="28"/>
              </w:rPr>
            </w:pPr>
            <w:r>
              <w:rPr>
                <w:rFonts w:hint="eastAsia"/>
              </w:rPr>
              <w:t>——</w:t>
            </w:r>
          </w:p>
        </w:tc>
      </w:tr>
      <w:tr>
        <w:tblPrEx>
          <w:tblCellMar>
            <w:top w:w="0" w:type="dxa"/>
            <w:left w:w="108" w:type="dxa"/>
            <w:bottom w:w="0" w:type="dxa"/>
            <w:right w:w="108" w:type="dxa"/>
          </w:tblCellMar>
        </w:tblPrEx>
        <w:trPr>
          <w:trHeight w:val="1575" w:hRule="atLeast"/>
          <w:jc w:val="center"/>
        </w:trPr>
        <w:tc>
          <w:tcPr>
            <w:tcW w:w="786" w:type="dxa"/>
            <w:vMerge w:val="continue"/>
            <w:tcBorders>
              <w:left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p>
        </w:tc>
        <w:tc>
          <w:tcPr>
            <w:tcW w:w="1378" w:type="dxa"/>
            <w:vMerge w:val="continue"/>
            <w:tcBorders>
              <w:left w:val="single" w:color="auto" w:sz="4" w:space="0"/>
              <w:right w:val="single" w:color="auto" w:sz="4" w:space="0"/>
            </w:tcBorders>
            <w:noWrap w:val="0"/>
            <w:vAlign w:val="center"/>
          </w:tcPr>
          <w:p>
            <w:pPr>
              <w:widowControl/>
              <w:spacing w:line="320" w:lineRule="exact"/>
              <w:jc w:val="center"/>
              <w:rPr>
                <w:rFonts w:eastAsia="仿宋_GB2312"/>
                <w:color w:val="000000"/>
                <w:kern w:val="0"/>
                <w:sz w:val="28"/>
                <w:szCs w:val="28"/>
              </w:rPr>
            </w:pPr>
          </w:p>
        </w:tc>
        <w:tc>
          <w:tcPr>
            <w:tcW w:w="62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eastAsia="仿宋_GB2312"/>
                <w:color w:val="000000"/>
                <w:kern w:val="0"/>
                <w:sz w:val="28"/>
                <w:szCs w:val="28"/>
              </w:rPr>
            </w:pPr>
            <w:r>
              <w:rPr>
                <w:rFonts w:hint="eastAsia" w:eastAsia="仿宋_GB2312"/>
                <w:color w:val="000000"/>
                <w:sz w:val="28"/>
                <w:szCs w:val="28"/>
              </w:rPr>
              <w:t>完善效果评估，涉及转运污染土壤的，督促按照承诺的时限和措施完成转运污染土壤处置、效果评估并备案。探索“环境修复+开发建设”模式，对转运土壤风险防范、受污染区域生态恢复试点，开展阶段性评估。</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tc>
        <w:tc>
          <w:tcPr>
            <w:tcW w:w="2166" w:type="dxa"/>
            <w:tcBorders>
              <w:top w:val="nil"/>
              <w:left w:val="nil"/>
              <w:bottom w:val="single" w:color="auto" w:sz="4" w:space="0"/>
              <w:right w:val="single" w:color="auto" w:sz="4" w:space="0"/>
            </w:tcBorders>
            <w:noWrap w:val="0"/>
            <w:vAlign w:val="center"/>
          </w:tcPr>
          <w:p>
            <w:pPr>
              <w:widowControl/>
              <w:snapToGrid w:val="0"/>
              <w:spacing w:line="320" w:lineRule="exact"/>
              <w:ind w:right="13" w:rightChars="6"/>
              <w:jc w:val="center"/>
              <w:rPr>
                <w:rFonts w:eastAsia="仿宋_GB2312"/>
                <w:snapToGrid w:val="0"/>
                <w:color w:val="000000"/>
                <w:kern w:val="0"/>
                <w:sz w:val="28"/>
                <w:szCs w:val="28"/>
              </w:rPr>
            </w:pPr>
            <w:r>
              <w:rPr>
                <w:rFonts w:eastAsia="仿宋_GB2312"/>
                <w:snapToGrid w:val="0"/>
                <w:color w:val="000000"/>
                <w:kern w:val="0"/>
                <w:sz w:val="28"/>
                <w:szCs w:val="28"/>
              </w:rPr>
              <w:t>区住建委</w:t>
            </w:r>
          </w:p>
        </w:tc>
      </w:tr>
      <w:tr>
        <w:tblPrEx>
          <w:tblCellMar>
            <w:top w:w="0" w:type="dxa"/>
            <w:left w:w="108" w:type="dxa"/>
            <w:bottom w:w="0" w:type="dxa"/>
            <w:right w:w="108" w:type="dxa"/>
          </w:tblCellMar>
        </w:tblPrEx>
        <w:trPr>
          <w:trHeight w:val="1374"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p>
        </w:tc>
        <w:tc>
          <w:tcPr>
            <w:tcW w:w="1378"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p>
        </w:tc>
        <w:tc>
          <w:tcPr>
            <w:tcW w:w="6278" w:type="dxa"/>
            <w:tcBorders>
              <w:top w:val="nil"/>
              <w:left w:val="nil"/>
              <w:bottom w:val="single" w:color="auto" w:sz="4" w:space="0"/>
              <w:right w:val="single" w:color="auto" w:sz="4" w:space="0"/>
            </w:tcBorders>
            <w:noWrap w:val="0"/>
            <w:vAlign w:val="center"/>
          </w:tcPr>
          <w:p>
            <w:pPr>
              <w:widowControl/>
              <w:snapToGrid w:val="0"/>
              <w:spacing w:line="320" w:lineRule="exact"/>
              <w:rPr>
                <w:rFonts w:eastAsia="仿宋_GB2312"/>
                <w:snapToGrid w:val="0"/>
                <w:color w:val="000000"/>
                <w:kern w:val="0"/>
                <w:sz w:val="28"/>
                <w:szCs w:val="28"/>
              </w:rPr>
            </w:pPr>
            <w:r>
              <w:rPr>
                <w:rFonts w:hint="eastAsia" w:eastAsia="仿宋_GB2312"/>
                <w:color w:val="000000"/>
                <w:sz w:val="28"/>
                <w:szCs w:val="28"/>
              </w:rPr>
              <w:t>强化后期监管，对开展后期管理的地块，督促编制、备案并实施后期管理计划。对地块后期管理计划实施情况开展监督检查。</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tc>
        <w:tc>
          <w:tcPr>
            <w:tcW w:w="2166" w:type="dxa"/>
            <w:tcBorders>
              <w:top w:val="nil"/>
              <w:left w:val="nil"/>
              <w:bottom w:val="single" w:color="auto" w:sz="4" w:space="0"/>
              <w:right w:val="single" w:color="auto" w:sz="4" w:space="0"/>
            </w:tcBorders>
            <w:noWrap w:val="0"/>
            <w:vAlign w:val="center"/>
          </w:tcPr>
          <w:p>
            <w:pPr>
              <w:widowControl/>
              <w:snapToGrid w:val="0"/>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区住建委</w:t>
            </w:r>
          </w:p>
        </w:tc>
      </w:tr>
      <w:tr>
        <w:tblPrEx>
          <w:tblCellMar>
            <w:top w:w="0" w:type="dxa"/>
            <w:left w:w="108" w:type="dxa"/>
            <w:bottom w:w="0" w:type="dxa"/>
            <w:right w:w="108" w:type="dxa"/>
          </w:tblCellMar>
        </w:tblPrEx>
        <w:trPr>
          <w:trHeight w:val="2864"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5</w:t>
            </w:r>
          </w:p>
        </w:tc>
        <w:tc>
          <w:tcPr>
            <w:tcW w:w="13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eastAsia="仿宋_GB2312"/>
                <w:color w:val="000000"/>
                <w:kern w:val="0"/>
                <w:sz w:val="28"/>
                <w:szCs w:val="28"/>
              </w:rPr>
            </w:pPr>
            <w:r>
              <w:rPr>
                <w:rFonts w:hint="eastAsia" w:eastAsia="仿宋_GB2312"/>
                <w:color w:val="000000"/>
                <w:kern w:val="0"/>
                <w:sz w:val="28"/>
                <w:szCs w:val="28"/>
              </w:rPr>
              <w:t>加强国土空间规划统筹</w:t>
            </w:r>
          </w:p>
        </w:tc>
        <w:tc>
          <w:tcPr>
            <w:tcW w:w="6278" w:type="dxa"/>
            <w:tcBorders>
              <w:top w:val="nil"/>
              <w:left w:val="nil"/>
              <w:bottom w:val="single" w:color="auto" w:sz="4" w:space="0"/>
              <w:right w:val="single" w:color="auto" w:sz="4" w:space="0"/>
            </w:tcBorders>
            <w:noWrap w:val="0"/>
            <w:vAlign w:val="center"/>
          </w:tcPr>
          <w:p>
            <w:pPr>
              <w:widowControl/>
              <w:spacing w:line="320" w:lineRule="exact"/>
              <w:jc w:val="left"/>
              <w:rPr>
                <w:rFonts w:eastAsia="仿宋_GB2312"/>
                <w:color w:val="000000"/>
                <w:kern w:val="0"/>
                <w:sz w:val="28"/>
                <w:szCs w:val="28"/>
              </w:rPr>
            </w:pPr>
            <w:r>
              <w:rPr>
                <w:rFonts w:hint="eastAsia" w:eastAsia="仿宋_GB2312"/>
                <w:color w:val="000000"/>
                <w:kern w:val="0"/>
                <w:sz w:val="28"/>
                <w:szCs w:val="28"/>
              </w:rPr>
              <w:t>强化规划统筹。将土壤环境质量作为编制、审查相关国土空间规划的依据，纳入自然资源统筹管理，做好国土空间用途管制。在编制国土空间规划前，对规划范围内涉及工业生产的地块进行筛查，筛选土壤污染风险较高的地块。未对土壤污染风险较高的地块进行土壤污染状况调查的，不宜规划为住宅用地、商业服务用地以及中小学、医疗卫生社会福利设施等公共管理与公共服务用地。</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持续推进</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 xml:space="preserve">规自分局       </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仿宋_GB2312"/>
                <w:snapToGrid w:val="0"/>
                <w:color w:val="000000"/>
                <w:kern w:val="0"/>
                <w:sz w:val="28"/>
                <w:szCs w:val="28"/>
              </w:rPr>
            </w:pPr>
            <w:r>
              <w:rPr>
                <w:rFonts w:hint="eastAsia"/>
              </w:rPr>
              <w:t>——</w:t>
            </w:r>
          </w:p>
        </w:tc>
      </w:tr>
      <w:tr>
        <w:tblPrEx>
          <w:tblCellMar>
            <w:top w:w="0" w:type="dxa"/>
            <w:left w:w="108" w:type="dxa"/>
            <w:bottom w:w="0" w:type="dxa"/>
            <w:right w:w="108" w:type="dxa"/>
          </w:tblCellMar>
        </w:tblPrEx>
        <w:trPr>
          <w:trHeight w:val="710" w:hRule="atLeast"/>
          <w:jc w:val="center"/>
        </w:trPr>
        <w:tc>
          <w:tcPr>
            <w:tcW w:w="1396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黑体"/>
                <w:bCs/>
                <w:snapToGrid w:val="0"/>
                <w:color w:val="000000"/>
                <w:kern w:val="0"/>
                <w:sz w:val="28"/>
                <w:szCs w:val="28"/>
              </w:rPr>
            </w:pPr>
            <w:r>
              <w:rPr>
                <w:rFonts w:hint="eastAsia" w:eastAsia="黑体"/>
                <w:bCs/>
                <w:snapToGrid w:val="0"/>
                <w:color w:val="000000"/>
                <w:kern w:val="0"/>
                <w:sz w:val="28"/>
                <w:szCs w:val="28"/>
              </w:rPr>
              <w:t>三、提升现代化治理能力</w:t>
            </w:r>
          </w:p>
        </w:tc>
      </w:tr>
      <w:tr>
        <w:tblPrEx>
          <w:tblCellMar>
            <w:top w:w="0" w:type="dxa"/>
            <w:left w:w="108" w:type="dxa"/>
            <w:bottom w:w="0" w:type="dxa"/>
            <w:right w:w="108" w:type="dxa"/>
          </w:tblCellMar>
        </w:tblPrEx>
        <w:trPr>
          <w:trHeight w:val="2612"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6</w:t>
            </w:r>
          </w:p>
        </w:tc>
        <w:tc>
          <w:tcPr>
            <w:tcW w:w="13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eastAsia="仿宋_GB2312"/>
                <w:color w:val="000000"/>
                <w:kern w:val="0"/>
                <w:sz w:val="28"/>
                <w:szCs w:val="28"/>
              </w:rPr>
            </w:pPr>
            <w:r>
              <w:rPr>
                <w:rFonts w:hint="eastAsia" w:eastAsia="仿宋_GB2312"/>
                <w:color w:val="000000"/>
                <w:sz w:val="28"/>
                <w:szCs w:val="28"/>
              </w:rPr>
              <w:t>深入开展普法宣传</w:t>
            </w:r>
          </w:p>
        </w:tc>
        <w:tc>
          <w:tcPr>
            <w:tcW w:w="62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rPr>
                <w:rFonts w:eastAsia="仿宋_GB2312"/>
                <w:color w:val="000000"/>
                <w:kern w:val="0"/>
                <w:sz w:val="28"/>
                <w:szCs w:val="28"/>
              </w:rPr>
            </w:pPr>
            <w:r>
              <w:rPr>
                <w:rFonts w:hint="eastAsia" w:eastAsia="仿宋_GB2312"/>
                <w:color w:val="000000"/>
                <w:sz w:val="28"/>
                <w:szCs w:val="28"/>
              </w:rPr>
              <w:t>开展《北京市土壤污染防治条例》普法宣传。区生态环境、规划自然资源、园林绿化等部门开展法规培训，提升土壤污染防治责任意识。开展面向工业企业的普法宣传，增强相关责任主体的土壤污染防治意识。加强面向公众的宣传，普及土壤生态环境保护知识，增强公众参与意识。</w:t>
            </w:r>
          </w:p>
        </w:tc>
        <w:tc>
          <w:tcPr>
            <w:tcW w:w="1380"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长期实施</w:t>
            </w:r>
          </w:p>
        </w:tc>
        <w:tc>
          <w:tcPr>
            <w:tcW w:w="1980"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区生态环境局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 xml:space="preserve">区园林绿化局       </w:t>
            </w:r>
          </w:p>
        </w:tc>
        <w:tc>
          <w:tcPr>
            <w:tcW w:w="2166"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各街道（地区）</w:t>
            </w:r>
          </w:p>
        </w:tc>
      </w:tr>
      <w:tr>
        <w:tblPrEx>
          <w:tblCellMar>
            <w:top w:w="0" w:type="dxa"/>
            <w:left w:w="108" w:type="dxa"/>
            <w:bottom w:w="0" w:type="dxa"/>
            <w:right w:w="108" w:type="dxa"/>
          </w:tblCellMar>
        </w:tblPrEx>
        <w:trPr>
          <w:trHeight w:val="2016"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7</w:t>
            </w:r>
          </w:p>
        </w:tc>
        <w:tc>
          <w:tcPr>
            <w:tcW w:w="13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eastAsia="仿宋_GB2312"/>
                <w:color w:val="000000"/>
                <w:kern w:val="0"/>
                <w:sz w:val="28"/>
                <w:szCs w:val="28"/>
              </w:rPr>
            </w:pPr>
            <w:r>
              <w:rPr>
                <w:rFonts w:hint="eastAsia" w:eastAsia="仿宋_GB2312"/>
                <w:snapToGrid w:val="0"/>
                <w:color w:val="000000"/>
                <w:kern w:val="0"/>
                <w:sz w:val="28"/>
                <w:szCs w:val="28"/>
              </w:rPr>
              <w:t>提升危险废物收运处置能力</w:t>
            </w:r>
          </w:p>
        </w:tc>
        <w:tc>
          <w:tcPr>
            <w:tcW w:w="6278" w:type="dxa"/>
            <w:tcBorders>
              <w:top w:val="single" w:color="auto" w:sz="4" w:space="0"/>
              <w:left w:val="nil"/>
              <w:bottom w:val="single" w:color="auto" w:sz="4" w:space="0"/>
              <w:right w:val="single" w:color="auto" w:sz="4" w:space="0"/>
            </w:tcBorders>
            <w:noWrap w:val="0"/>
            <w:vAlign w:val="center"/>
          </w:tcPr>
          <w:p>
            <w:pPr>
              <w:widowControl/>
              <w:spacing w:line="320" w:lineRule="exact"/>
              <w:rPr>
                <w:rFonts w:eastAsia="仿宋_GB2312"/>
                <w:color w:val="000000"/>
                <w:kern w:val="0"/>
                <w:sz w:val="28"/>
                <w:szCs w:val="28"/>
              </w:rPr>
            </w:pPr>
            <w:r>
              <w:rPr>
                <w:rFonts w:hint="eastAsia" w:eastAsia="仿宋_GB2312"/>
                <w:snapToGrid w:val="0"/>
                <w:color w:val="000000"/>
                <w:kern w:val="0"/>
                <w:sz w:val="28"/>
                <w:szCs w:val="28"/>
              </w:rPr>
              <w:t>落实疫情防控要求，及时组织清运重点管控生活垃圾。完善“小箱进大箱”等工作机制，健全小微医疗机构医废收运体系。</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区城管委</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区生态环境局</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区卫健委</w:t>
            </w:r>
          </w:p>
        </w:tc>
        <w:tc>
          <w:tcPr>
            <w:tcW w:w="2166" w:type="dxa"/>
            <w:tcBorders>
              <w:top w:val="nil"/>
              <w:left w:val="nil"/>
              <w:bottom w:val="single" w:color="auto" w:sz="4" w:space="0"/>
              <w:right w:val="single" w:color="auto" w:sz="4" w:space="0"/>
            </w:tcBorders>
            <w:noWrap w:val="0"/>
            <w:vAlign w:val="center"/>
          </w:tcPr>
          <w:p>
            <w:pPr>
              <w:widowControl/>
              <w:snapToGrid w:val="0"/>
              <w:spacing w:line="320" w:lineRule="exact"/>
              <w:ind w:right="13" w:rightChars="6"/>
              <w:jc w:val="center"/>
              <w:rPr>
                <w:rFonts w:eastAsia="仿宋_GB2312"/>
                <w:color w:val="000000"/>
                <w:sz w:val="28"/>
                <w:szCs w:val="28"/>
              </w:rPr>
            </w:pPr>
            <w:r>
              <w:rPr>
                <w:rFonts w:eastAsia="仿宋_GB2312"/>
                <w:color w:val="000000"/>
                <w:sz w:val="28"/>
                <w:szCs w:val="28"/>
              </w:rPr>
              <w:t>区环卫中心</w:t>
            </w:r>
          </w:p>
          <w:p>
            <w:pPr>
              <w:widowControl/>
              <w:spacing w:line="320" w:lineRule="exact"/>
              <w:jc w:val="center"/>
              <w:rPr>
                <w:rFonts w:hint="eastAsia" w:eastAsia="仿宋_GB2312"/>
                <w:color w:val="000000"/>
                <w:sz w:val="28"/>
                <w:szCs w:val="28"/>
              </w:rPr>
            </w:pPr>
            <w:r>
              <w:rPr>
                <w:rFonts w:eastAsia="仿宋_GB2312"/>
                <w:color w:val="000000"/>
                <w:sz w:val="28"/>
                <w:szCs w:val="28"/>
              </w:rPr>
              <w:t>交通支队</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公安分局</w:t>
            </w:r>
          </w:p>
        </w:tc>
      </w:tr>
      <w:tr>
        <w:tblPrEx>
          <w:tblCellMar>
            <w:top w:w="0" w:type="dxa"/>
            <w:left w:w="108" w:type="dxa"/>
            <w:bottom w:w="0" w:type="dxa"/>
            <w:right w:w="108" w:type="dxa"/>
          </w:tblCellMar>
        </w:tblPrEx>
        <w:trPr>
          <w:trHeight w:val="3290" w:hRule="atLeast"/>
          <w:jc w:val="center"/>
        </w:trPr>
        <w:tc>
          <w:tcPr>
            <w:tcW w:w="78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8</w:t>
            </w:r>
          </w:p>
        </w:tc>
        <w:tc>
          <w:tcPr>
            <w:tcW w:w="1378"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center"/>
              <w:rPr>
                <w:rFonts w:eastAsia="仿宋_GB2312"/>
                <w:color w:val="000000"/>
                <w:sz w:val="28"/>
                <w:szCs w:val="28"/>
              </w:rPr>
            </w:pPr>
            <w:r>
              <w:rPr>
                <w:rFonts w:hint="eastAsia" w:eastAsia="仿宋_GB2312"/>
                <w:snapToGrid w:val="0"/>
                <w:color w:val="000000"/>
                <w:kern w:val="0"/>
                <w:sz w:val="28"/>
                <w:szCs w:val="28"/>
              </w:rPr>
              <w:t>实行信息共享制度</w:t>
            </w:r>
          </w:p>
        </w:tc>
        <w:tc>
          <w:tcPr>
            <w:tcW w:w="6278" w:type="dxa"/>
            <w:tcBorders>
              <w:top w:val="single" w:color="auto" w:sz="4" w:space="0"/>
              <w:left w:val="nil"/>
              <w:bottom w:val="single" w:color="auto" w:sz="4" w:space="0"/>
              <w:right w:val="single" w:color="auto" w:sz="4" w:space="0"/>
            </w:tcBorders>
            <w:noWrap w:val="0"/>
            <w:vAlign w:val="center"/>
          </w:tcPr>
          <w:p>
            <w:pPr>
              <w:widowControl/>
              <w:spacing w:line="320" w:lineRule="exact"/>
              <w:rPr>
                <w:rFonts w:eastAsia="仿宋_GB2312"/>
                <w:snapToGrid w:val="0"/>
                <w:color w:val="000000"/>
                <w:kern w:val="0"/>
                <w:sz w:val="28"/>
                <w:szCs w:val="28"/>
              </w:rPr>
            </w:pPr>
            <w:r>
              <w:rPr>
                <w:rFonts w:hint="eastAsia" w:eastAsia="仿宋_GB2312"/>
                <w:snapToGrid w:val="0"/>
                <w:color w:val="000000"/>
                <w:kern w:val="0"/>
                <w:sz w:val="28"/>
                <w:szCs w:val="28"/>
              </w:rPr>
              <w:t>实行土壤污染防治相关信息共享制度。生态环境部门共享土壤污染重点监管单位情况、地块污染状况、风险管控和修复名录等；园林绿化部门共享土壤环境监测数据、综合防治效果调查等；规划资源部门共享建设用地用途变更信息、建设工程规划许可情况、年度供地计划、重点工业用地土地使用权收回及转让计划等；住房建设部门共享建筑工程施工许可情况等；经济和信息化部门共享关停退出企业情况等。</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eastAsia="仿宋_GB2312"/>
                <w:snapToGrid w:val="0"/>
                <w:color w:val="000000"/>
                <w:kern w:val="0"/>
                <w:sz w:val="28"/>
                <w:szCs w:val="28"/>
              </w:rPr>
            </w:pPr>
            <w:r>
              <w:rPr>
                <w:rFonts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区生态环境局</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区园林绿化局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区住建委</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区科信局</w:t>
            </w:r>
          </w:p>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区城管委</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hint="eastAsia"/>
              </w:rPr>
              <w:t>——</w:t>
            </w:r>
          </w:p>
        </w:tc>
      </w:tr>
      <w:tr>
        <w:tblPrEx>
          <w:tblCellMar>
            <w:top w:w="0" w:type="dxa"/>
            <w:left w:w="108" w:type="dxa"/>
            <w:bottom w:w="0" w:type="dxa"/>
            <w:right w:w="108" w:type="dxa"/>
          </w:tblCellMar>
        </w:tblPrEx>
        <w:trPr>
          <w:trHeight w:val="2115" w:hRule="atLeast"/>
          <w:jc w:val="center"/>
        </w:trPr>
        <w:tc>
          <w:tcPr>
            <w:tcW w:w="786"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9</w:t>
            </w:r>
          </w:p>
        </w:tc>
        <w:tc>
          <w:tcPr>
            <w:tcW w:w="1378" w:type="dxa"/>
            <w:vMerge w:val="restart"/>
            <w:tcBorders>
              <w:top w:val="single" w:color="auto" w:sz="4" w:space="0"/>
              <w:left w:val="nil"/>
              <w:right w:val="single" w:color="auto" w:sz="4" w:space="0"/>
            </w:tcBorders>
            <w:noWrap w:val="0"/>
            <w:vAlign w:val="center"/>
          </w:tcPr>
          <w:p>
            <w:pPr>
              <w:widowControl/>
              <w:snapToGrid w:val="0"/>
              <w:spacing w:line="320" w:lineRule="exact"/>
              <w:jc w:val="center"/>
              <w:rPr>
                <w:rFonts w:eastAsia="仿宋_GB2312"/>
                <w:color w:val="000000"/>
                <w:sz w:val="28"/>
                <w:szCs w:val="28"/>
              </w:rPr>
            </w:pPr>
            <w:r>
              <w:rPr>
                <w:rFonts w:hint="eastAsia" w:eastAsia="仿宋_GB2312"/>
                <w:color w:val="000000"/>
                <w:sz w:val="28"/>
                <w:szCs w:val="28"/>
              </w:rPr>
              <w:t>提升监测监管能力</w:t>
            </w:r>
          </w:p>
        </w:tc>
        <w:tc>
          <w:tcPr>
            <w:tcW w:w="6278" w:type="dxa"/>
            <w:tcBorders>
              <w:top w:val="single" w:color="auto" w:sz="4" w:space="0"/>
              <w:left w:val="nil"/>
              <w:bottom w:val="single" w:color="auto" w:sz="4" w:space="0"/>
              <w:right w:val="single" w:color="auto" w:sz="4" w:space="0"/>
            </w:tcBorders>
            <w:noWrap w:val="0"/>
            <w:vAlign w:val="center"/>
          </w:tcPr>
          <w:p>
            <w:pPr>
              <w:widowControl/>
              <w:spacing w:line="320" w:lineRule="exact"/>
              <w:rPr>
                <w:rFonts w:eastAsia="仿宋_GB2312"/>
                <w:snapToGrid w:val="0"/>
                <w:color w:val="000000"/>
                <w:kern w:val="0"/>
                <w:sz w:val="28"/>
                <w:szCs w:val="28"/>
              </w:rPr>
            </w:pPr>
            <w:r>
              <w:rPr>
                <w:rFonts w:hint="eastAsia" w:eastAsia="仿宋_GB2312"/>
                <w:snapToGrid w:val="0"/>
                <w:color w:val="000000"/>
                <w:kern w:val="0"/>
                <w:sz w:val="28"/>
                <w:szCs w:val="28"/>
              </w:rPr>
              <w:t>开展工业污染源头监测。按计划开展重点监管单位和污水集中处理设施周边监测，对自行监测结果存在异常的工业企业周边土壤进行监测，存在污染迹象或特征污染物含量呈现上升趋势的，督促采取移除污染源、防止污染扩散等措施。</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hint="eastAsia" w:eastAsia="仿宋_GB2312"/>
                <w:snapToGrid w:val="0"/>
                <w:color w:val="000000"/>
                <w:kern w:val="0"/>
                <w:sz w:val="28"/>
                <w:szCs w:val="28"/>
              </w:rPr>
              <w:t>区生态环境局</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区科信局</w:t>
            </w:r>
          </w:p>
        </w:tc>
      </w:tr>
      <w:tr>
        <w:tblPrEx>
          <w:tblCellMar>
            <w:top w:w="0" w:type="dxa"/>
            <w:left w:w="108" w:type="dxa"/>
            <w:bottom w:w="0" w:type="dxa"/>
            <w:right w:w="108" w:type="dxa"/>
          </w:tblCellMar>
        </w:tblPrEx>
        <w:trPr>
          <w:trHeight w:val="2542" w:hRule="atLeast"/>
          <w:jc w:val="center"/>
        </w:trPr>
        <w:tc>
          <w:tcPr>
            <w:tcW w:w="786"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snapToGrid w:val="0"/>
                <w:color w:val="000000"/>
                <w:kern w:val="0"/>
                <w:sz w:val="28"/>
                <w:szCs w:val="28"/>
              </w:rPr>
            </w:pPr>
          </w:p>
        </w:tc>
        <w:tc>
          <w:tcPr>
            <w:tcW w:w="1378" w:type="dxa"/>
            <w:vMerge w:val="continue"/>
            <w:tcBorders>
              <w:left w:val="nil"/>
              <w:bottom w:val="single" w:color="auto" w:sz="4" w:space="0"/>
              <w:right w:val="single" w:color="auto" w:sz="4" w:space="0"/>
            </w:tcBorders>
            <w:noWrap w:val="0"/>
            <w:vAlign w:val="center"/>
          </w:tcPr>
          <w:p>
            <w:pPr>
              <w:widowControl/>
              <w:snapToGrid w:val="0"/>
              <w:spacing w:line="320" w:lineRule="exact"/>
              <w:jc w:val="center"/>
              <w:rPr>
                <w:rFonts w:eastAsia="仿宋_GB2312"/>
                <w:color w:val="000000"/>
                <w:sz w:val="28"/>
                <w:szCs w:val="28"/>
              </w:rPr>
            </w:pPr>
          </w:p>
        </w:tc>
        <w:tc>
          <w:tcPr>
            <w:tcW w:w="6278" w:type="dxa"/>
            <w:tcBorders>
              <w:top w:val="single" w:color="auto" w:sz="4" w:space="0"/>
              <w:left w:val="nil"/>
              <w:bottom w:val="single" w:color="auto" w:sz="4" w:space="0"/>
              <w:right w:val="single" w:color="auto" w:sz="4" w:space="0"/>
            </w:tcBorders>
            <w:noWrap w:val="0"/>
            <w:vAlign w:val="center"/>
          </w:tcPr>
          <w:p>
            <w:pPr>
              <w:widowControl/>
              <w:spacing w:line="320" w:lineRule="exact"/>
              <w:rPr>
                <w:rFonts w:eastAsia="仿宋_GB2312"/>
                <w:snapToGrid w:val="0"/>
                <w:color w:val="000000"/>
                <w:kern w:val="0"/>
                <w:sz w:val="28"/>
                <w:szCs w:val="28"/>
              </w:rPr>
            </w:pPr>
            <w:r>
              <w:rPr>
                <w:rFonts w:hint="eastAsia" w:eastAsia="仿宋_GB2312"/>
                <w:snapToGrid w:val="0"/>
                <w:color w:val="000000"/>
                <w:kern w:val="0"/>
                <w:sz w:val="28"/>
                <w:szCs w:val="28"/>
              </w:rPr>
              <w:t>加强建设用地执法检查。对未完成土壤污染状况调查，或污染物含量超筛选值且尚未完成土壤污染风险评估，或未达到风险管控、修复目标的建设用地，加强违法开工建设执法检查。对土壤污染重点监管单位履行法定义务的时效及规范性、隐患排查问题整改情况等开展执法检查。</w:t>
            </w:r>
          </w:p>
        </w:tc>
        <w:tc>
          <w:tcPr>
            <w:tcW w:w="1380" w:type="dxa"/>
            <w:tcBorders>
              <w:top w:val="nil"/>
              <w:left w:val="nil"/>
              <w:bottom w:val="single" w:color="auto" w:sz="4" w:space="0"/>
              <w:right w:val="single" w:color="auto" w:sz="4" w:space="0"/>
            </w:tcBorders>
            <w:noWrap w:val="0"/>
            <w:vAlign w:val="center"/>
          </w:tcPr>
          <w:p>
            <w:pPr>
              <w:widowControl/>
              <w:snapToGrid w:val="0"/>
              <w:spacing w:line="320" w:lineRule="exact"/>
              <w:ind w:right="-105" w:rightChars="-50"/>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年底前</w:t>
            </w:r>
          </w:p>
        </w:tc>
        <w:tc>
          <w:tcPr>
            <w:tcW w:w="1980"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eastAsia="仿宋_GB2312"/>
                <w:snapToGrid w:val="0"/>
                <w:color w:val="000000"/>
                <w:kern w:val="0"/>
                <w:sz w:val="28"/>
                <w:szCs w:val="28"/>
              </w:rPr>
            </w:pPr>
            <w:r>
              <w:rPr>
                <w:rFonts w:hint="eastAsia" w:eastAsia="仿宋_GB2312"/>
                <w:snapToGrid w:val="0"/>
                <w:color w:val="000000"/>
                <w:kern w:val="0"/>
                <w:sz w:val="28"/>
                <w:szCs w:val="28"/>
              </w:rPr>
              <w:t>区生态环境局</w:t>
            </w:r>
          </w:p>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规自分局</w:t>
            </w:r>
          </w:p>
        </w:tc>
        <w:tc>
          <w:tcPr>
            <w:tcW w:w="2166" w:type="dxa"/>
            <w:tcBorders>
              <w:top w:val="nil"/>
              <w:left w:val="nil"/>
              <w:bottom w:val="single" w:color="auto" w:sz="4" w:space="0"/>
              <w:right w:val="single" w:color="auto" w:sz="4" w:space="0"/>
            </w:tcBorders>
            <w:noWrap w:val="0"/>
            <w:vAlign w:val="center"/>
          </w:tcPr>
          <w:p>
            <w:pPr>
              <w:widowControl/>
              <w:spacing w:line="320" w:lineRule="exact"/>
              <w:jc w:val="center"/>
              <w:rPr>
                <w:rFonts w:eastAsia="仿宋_GB2312"/>
                <w:snapToGrid w:val="0"/>
                <w:color w:val="000000"/>
                <w:kern w:val="0"/>
                <w:sz w:val="28"/>
                <w:szCs w:val="28"/>
              </w:rPr>
            </w:pPr>
            <w:r>
              <w:rPr>
                <w:rFonts w:eastAsia="仿宋_GB2312"/>
                <w:snapToGrid w:val="0"/>
                <w:color w:val="000000"/>
                <w:kern w:val="0"/>
                <w:sz w:val="28"/>
                <w:szCs w:val="28"/>
              </w:rPr>
              <w:t>各街道（地区）</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OWM2ODlkOGIxNDU4YWZhMGU0OGY1MmM0MDZiYjIifQ=="/>
  </w:docVars>
  <w:rsids>
    <w:rsidRoot w:val="1654408A"/>
    <w:rsid w:val="16544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2036</Words>
  <Characters>2047</Characters>
  <Lines>0</Lines>
  <Paragraphs>0</Paragraphs>
  <TotalTime>0</TotalTime>
  <ScaleCrop>false</ScaleCrop>
  <LinksUpToDate>false</LinksUpToDate>
  <CharactersWithSpaces>2061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2023-05-04T03:53:00Z</dcterms:created>
  <dc:creator>名字不重要</dc:creator>
  <cp:lastModifiedBy>名字不重要</cp:lastModifiedBy>
  <dcterms:modified xsi:type="dcterms:W3CDTF">2023-05-04T03:54:37Z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D3D354849D2B471299D3C83B2E94E1B3_11</vt:lpwstr>
  </property>
</Properties>
</file>