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156" w:afterLines="50"/>
        <w:outlineLvl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adjustRightInd w:val="0"/>
        <w:snapToGrid w:val="0"/>
        <w:spacing w:before="156" w:beforeLines="50" w:after="156" w:afterLines="50"/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东城区应对气候变化2023年行动计划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1378"/>
        <w:gridCol w:w="6530"/>
        <w:gridCol w:w="1192"/>
        <w:gridCol w:w="2101"/>
        <w:gridCol w:w="2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tblHeader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重点任务</w:t>
            </w:r>
          </w:p>
        </w:tc>
        <w:tc>
          <w:tcPr>
            <w:tcW w:w="6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工作措施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完成</w:t>
            </w:r>
          </w:p>
          <w:p>
            <w:pPr>
              <w:snapToGrid w:val="0"/>
              <w:jc w:val="center"/>
              <w:rPr>
                <w:rFonts w:hint="eastAsia"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时限</w:t>
            </w:r>
          </w:p>
        </w:tc>
        <w:tc>
          <w:tcPr>
            <w:tcW w:w="2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hint="eastAsia"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牵头部门</w:t>
            </w:r>
          </w:p>
        </w:tc>
        <w:tc>
          <w:tcPr>
            <w:tcW w:w="2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hint="eastAsia"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0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一、温室气体排放控制目标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温室气体排放控制目标</w:t>
            </w:r>
          </w:p>
        </w:tc>
        <w:tc>
          <w:tcPr>
            <w:tcW w:w="6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切实控制温室气体排放,碳排放强度较2020年下降12%左右，碳排放总量得到有效控制。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年底前</w:t>
            </w:r>
          </w:p>
        </w:tc>
        <w:tc>
          <w:tcPr>
            <w:tcW w:w="2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区生态环境局</w:t>
            </w:r>
          </w:p>
        </w:tc>
        <w:tc>
          <w:tcPr>
            <w:tcW w:w="2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区发改委</w:t>
            </w:r>
          </w:p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区科信局</w:t>
            </w:r>
          </w:p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区住建委</w:t>
            </w:r>
          </w:p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区城管委</w:t>
            </w:r>
          </w:p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各街道（地区）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0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二、完善应对气候变化综合管理制度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构建碳达峰碳中和政策体系</w:t>
            </w:r>
          </w:p>
        </w:tc>
        <w:tc>
          <w:tcPr>
            <w:tcW w:w="6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按照国家部署和本市要求，推动出台本区碳达峰碳中和系列政策文件，推动产业和能源低碳转型，切实控制温室气体排放。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年底前</w:t>
            </w:r>
          </w:p>
        </w:tc>
        <w:tc>
          <w:tcPr>
            <w:tcW w:w="2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区发改委</w:t>
            </w:r>
          </w:p>
        </w:tc>
        <w:tc>
          <w:tcPr>
            <w:tcW w:w="2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区生态环境局</w:t>
            </w:r>
          </w:p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区科信局</w:t>
            </w:r>
          </w:p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区住建委</w:t>
            </w:r>
          </w:p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区城管委等相关部门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落实强化碳排放“双控”制度</w:t>
            </w:r>
          </w:p>
        </w:tc>
        <w:tc>
          <w:tcPr>
            <w:tcW w:w="6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按照全市统一要求，强化碳排放控制目标约束作用，配合市级部门推进将能耗“双控”向碳排放总量和强度“双控”转变，逐步推进在建设项目环境影响评价中开展碳排放评价。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年底前</w:t>
            </w:r>
          </w:p>
        </w:tc>
        <w:tc>
          <w:tcPr>
            <w:tcW w:w="2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区生态环境局</w:t>
            </w:r>
          </w:p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区发改委</w:t>
            </w:r>
          </w:p>
        </w:tc>
        <w:tc>
          <w:tcPr>
            <w:tcW w:w="2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区统计局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5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积极推进碳排放权交易市场建设</w:t>
            </w:r>
          </w:p>
        </w:tc>
        <w:tc>
          <w:tcPr>
            <w:tcW w:w="6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按照全市要求开展2023年度本市碳排放权交易工作，确定重点排放单位名单，组织本区重点排放单位完成数据报送和核查工作，提升数据质量，按期完成北京碳市场履约。</w:t>
            </w:r>
          </w:p>
          <w:p>
            <w:pPr>
              <w:spacing w:line="32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加强重点排放单位管理，引导重点排放单位以节能减碳为目标，建立碳排放管理制度、加强技术更新改造、提升企业减排能力等。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年底前</w:t>
            </w:r>
          </w:p>
        </w:tc>
        <w:tc>
          <w:tcPr>
            <w:tcW w:w="2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区生态环境局</w:t>
            </w:r>
          </w:p>
        </w:tc>
        <w:tc>
          <w:tcPr>
            <w:tcW w:w="2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相关单位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40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spacing w:line="320" w:lineRule="exact"/>
              <w:jc w:val="center"/>
              <w:rPr>
                <w:rFonts w:hint="eastAsia"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三、深入推进重点领域和重点区域温室气体排放控制工作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7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137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推进能源低碳化发展</w:t>
            </w:r>
          </w:p>
        </w:tc>
        <w:tc>
          <w:tcPr>
            <w:tcW w:w="6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大力开展能源节约和能效提升，万元GDP能耗力争持续下降，严控化石能源消费总量。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年底前</w:t>
            </w:r>
          </w:p>
        </w:tc>
        <w:tc>
          <w:tcPr>
            <w:tcW w:w="2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区发改委</w:t>
            </w:r>
          </w:p>
        </w:tc>
        <w:tc>
          <w:tcPr>
            <w:tcW w:w="2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区相关部门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  <w:jc w:val="center"/>
        </w:trPr>
        <w:tc>
          <w:tcPr>
            <w:tcW w:w="7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按照市级部门要求落实北京市可再生能源替代方案，新增能源消费优先由可再生能源提供，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可再生能源消费占比达到市级要求。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年底前</w:t>
            </w:r>
          </w:p>
        </w:tc>
        <w:tc>
          <w:tcPr>
            <w:tcW w:w="2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widowControl/>
              <w:autoSpaceDE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区发改委</w:t>
            </w:r>
          </w:p>
          <w:p>
            <w:pPr>
              <w:widowControl/>
              <w:autoSpaceDE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区城管委</w:t>
            </w:r>
          </w:p>
        </w:tc>
        <w:tc>
          <w:tcPr>
            <w:tcW w:w="2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区相关部门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  <w:jc w:val="center"/>
        </w:trPr>
        <w:tc>
          <w:tcPr>
            <w:tcW w:w="7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因地制宜发展本地热泵、光伏系统。</w:t>
            </w:r>
          </w:p>
          <w:p>
            <w:pPr>
              <w:spacing w:line="32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配合市级部门完善绿电交易机制，组织开展市场化绿电交易。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年底前</w:t>
            </w:r>
          </w:p>
        </w:tc>
        <w:tc>
          <w:tcPr>
            <w:tcW w:w="2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widowControl/>
              <w:autoSpaceDE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区发改委</w:t>
            </w:r>
          </w:p>
          <w:p>
            <w:pPr>
              <w:widowControl/>
              <w:autoSpaceDE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区城管委</w:t>
            </w:r>
          </w:p>
        </w:tc>
        <w:tc>
          <w:tcPr>
            <w:tcW w:w="2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构建绿色低碳产业体系</w:t>
            </w:r>
          </w:p>
        </w:tc>
        <w:tc>
          <w:tcPr>
            <w:tcW w:w="6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推进传统行业的低碳化改造。 </w:t>
            </w:r>
          </w:p>
          <w:p>
            <w:pPr>
              <w:spacing w:line="32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落实数据中心减碳要求，有序关闭腾退低效数据中心。进一步整合存量数据中心，强化存量数据中心绿色技术应用和改造，推进氢能、液体冷却、可再生能源等应用。鼓励数据中心采用余热回收利用措施为周边建筑提供热源。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年底前</w:t>
            </w:r>
          </w:p>
        </w:tc>
        <w:tc>
          <w:tcPr>
            <w:tcW w:w="2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区发改委</w:t>
            </w:r>
          </w:p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区科信局</w:t>
            </w:r>
          </w:p>
        </w:tc>
        <w:tc>
          <w:tcPr>
            <w:tcW w:w="2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区相关部门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大力发展循环经济</w:t>
            </w:r>
          </w:p>
        </w:tc>
        <w:tc>
          <w:tcPr>
            <w:tcW w:w="6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构建资源循环型产业体系，全面推行绿色设计和清洁生产。</w:t>
            </w:r>
          </w:p>
          <w:p>
            <w:pPr>
              <w:spacing w:line="32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推动具备条件的园区开展绿色低碳循环化改造升级，强化园区资源梯级利用和系统优化。</w:t>
            </w:r>
          </w:p>
          <w:p>
            <w:pPr>
              <w:spacing w:line="32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推进固体废弃物协同处置，提升资源综合利用能力，提高再生资源回收率，加强建筑垃圾源头减量和分类回收，生活垃圾资源化利用率达到市级要求。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年底前</w:t>
            </w:r>
          </w:p>
        </w:tc>
        <w:tc>
          <w:tcPr>
            <w:tcW w:w="2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东城园管委会</w:t>
            </w:r>
          </w:p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区发改委</w:t>
            </w:r>
          </w:p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区生态环境局</w:t>
            </w:r>
          </w:p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区城管委</w:t>
            </w:r>
          </w:p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区住建委</w:t>
            </w:r>
          </w:p>
        </w:tc>
        <w:tc>
          <w:tcPr>
            <w:tcW w:w="2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区相关部门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推进建筑领域低碳化</w:t>
            </w:r>
          </w:p>
        </w:tc>
        <w:tc>
          <w:tcPr>
            <w:tcW w:w="6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新建政府投资和公共建筑执行绿色建筑二星级及以上标准。大力推广超低能耗建筑。完成50万平方米非节能公共建筑节能绿色改造，不断提高装配式建筑占新建建筑面积比例，建筑领域碳排放持续下降。</w:t>
            </w:r>
          </w:p>
          <w:p>
            <w:pPr>
              <w:snapToGrid w:val="0"/>
              <w:spacing w:line="32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推广绿色低碳建材以及太阳能光伏、光热和热泵技术应用，研究建立既有建筑绿色改造长效机制。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年底前</w:t>
            </w:r>
          </w:p>
        </w:tc>
        <w:tc>
          <w:tcPr>
            <w:tcW w:w="2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widowControl/>
              <w:autoSpaceDE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规自分局</w:t>
            </w:r>
          </w:p>
          <w:p>
            <w:pPr>
              <w:widowControl/>
              <w:autoSpaceDE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区住建委</w:t>
            </w:r>
          </w:p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pacing w:val="-24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区发改委</w:t>
            </w:r>
          </w:p>
        </w:tc>
        <w:tc>
          <w:tcPr>
            <w:tcW w:w="2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1" w:hRule="atLeast"/>
          <w:jc w:val="center"/>
        </w:trPr>
        <w:tc>
          <w:tcPr>
            <w:tcW w:w="7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137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创建绿色智能供热体系</w:t>
            </w:r>
          </w:p>
        </w:tc>
        <w:tc>
          <w:tcPr>
            <w:tcW w:w="6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根据全市统一安排，分步骤实施供热系统重构，全面布局新能源和可再生能源分布式供热，禁止新建和扩建燃气独立供暖系统，全区单位建筑面积供热能耗下降达到市级要求，建立绿色低碳热源结构，大力推进供热系统节能改造。</w:t>
            </w:r>
          </w:p>
          <w:p>
            <w:pPr>
              <w:snapToGrid w:val="0"/>
              <w:spacing w:line="320" w:lineRule="exact"/>
              <w:rPr>
                <w:rFonts w:hint="eastAsia" w:ascii="仿宋_GB2312" w:eastAsia="仿宋_GB2312"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配合市级部门统筹实施供热智能化控制、供热资源整合、热网系统重组等，有序推进散小热源整合联网及新能源和可再生能源耦合供热替代。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年底前</w:t>
            </w:r>
          </w:p>
        </w:tc>
        <w:tc>
          <w:tcPr>
            <w:tcW w:w="2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区城管委</w:t>
            </w:r>
          </w:p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区发改委</w:t>
            </w:r>
          </w:p>
        </w:tc>
        <w:tc>
          <w:tcPr>
            <w:tcW w:w="2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  <w:jc w:val="center"/>
        </w:trPr>
        <w:tc>
          <w:tcPr>
            <w:tcW w:w="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eastAsia="仿宋_GB2312"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新建建筑供暖采用电力、可再生能源等多能耦合供热占比达到市级要求。推进既有燃气供热系统“零碳”改造示范。配合市级部门推进既有建筑智能化供热改造。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大力推动可再生能源供热规模化应用，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新增再生能源供热面积持续增长。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年底前</w:t>
            </w:r>
          </w:p>
        </w:tc>
        <w:tc>
          <w:tcPr>
            <w:tcW w:w="2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区城管委</w:t>
            </w:r>
          </w:p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区发改委</w:t>
            </w:r>
          </w:p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规自分局</w:t>
            </w:r>
          </w:p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区住建委</w:t>
            </w:r>
          </w:p>
        </w:tc>
        <w:tc>
          <w:tcPr>
            <w:tcW w:w="2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加强城市绿色交通体系建设</w:t>
            </w:r>
          </w:p>
        </w:tc>
        <w:tc>
          <w:tcPr>
            <w:tcW w:w="6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根据全市统一安排，扎实推进慢行优先、公交优先、绿色优先，中心城区绿色出行比例达到74.7%左右。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年底前</w:t>
            </w:r>
          </w:p>
        </w:tc>
        <w:tc>
          <w:tcPr>
            <w:tcW w:w="2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区城管委</w:t>
            </w:r>
          </w:p>
        </w:tc>
        <w:tc>
          <w:tcPr>
            <w:tcW w:w="2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强化低碳试点示范</w:t>
            </w:r>
          </w:p>
        </w:tc>
        <w:tc>
          <w:tcPr>
            <w:tcW w:w="6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按照全市统一要求，开展2023年低碳试点建设工作。鼓励优先应用绿色低碳技术、集成应用多种技术，培育碳绩效领先的领跑者企业和公共机构。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年底前</w:t>
            </w:r>
          </w:p>
        </w:tc>
        <w:tc>
          <w:tcPr>
            <w:tcW w:w="2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区生态环境局</w:t>
            </w:r>
          </w:p>
        </w:tc>
        <w:tc>
          <w:tcPr>
            <w:tcW w:w="2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区发改委</w:t>
            </w:r>
          </w:p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区财政局</w:t>
            </w:r>
          </w:p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区科信局</w:t>
            </w:r>
          </w:p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区城管委</w:t>
            </w:r>
          </w:p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区住建委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12</w:t>
            </w: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控制非二氧化碳温室气体排放</w:t>
            </w:r>
          </w:p>
        </w:tc>
        <w:tc>
          <w:tcPr>
            <w:tcW w:w="6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配合市级部门开展非二氧化碳温室气体排放调查，研究甲烷控制目标任务和措施，推进生物质能清洁高效利用。 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年底前</w:t>
            </w:r>
          </w:p>
        </w:tc>
        <w:tc>
          <w:tcPr>
            <w:tcW w:w="2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区生态环境局</w:t>
            </w:r>
          </w:p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区城管委</w:t>
            </w:r>
          </w:p>
        </w:tc>
        <w:tc>
          <w:tcPr>
            <w:tcW w:w="2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40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四、加强城市气候适应性建设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13</w:t>
            </w: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加强适应气候变化顶层设计</w:t>
            </w:r>
          </w:p>
        </w:tc>
        <w:tc>
          <w:tcPr>
            <w:tcW w:w="6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配合市级部门编制北京市适应气候变化行动方案，明确适应气候变化任务举措，完善适应气候变化工作机制和保障措施。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年底前</w:t>
            </w:r>
          </w:p>
        </w:tc>
        <w:tc>
          <w:tcPr>
            <w:tcW w:w="2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区生态环境局</w:t>
            </w:r>
          </w:p>
        </w:tc>
        <w:tc>
          <w:tcPr>
            <w:tcW w:w="2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规自分局</w:t>
            </w:r>
          </w:p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区发改委</w:t>
            </w:r>
          </w:p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区应急局</w:t>
            </w:r>
          </w:p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区城管委</w:t>
            </w:r>
          </w:p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hAnsi="Calibri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pacing w:val="-20"/>
                <w:kern w:val="0"/>
                <w:sz w:val="28"/>
                <w:szCs w:val="28"/>
              </w:rPr>
              <w:t>区科信局</w:t>
            </w:r>
          </w:p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区住建委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14</w:t>
            </w: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提升生态系统碳汇能力</w:t>
            </w:r>
          </w:p>
        </w:tc>
        <w:tc>
          <w:tcPr>
            <w:tcW w:w="6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坚持全域多层次增绿固碳，促进园林绿地碳汇，探索摸清全区园林绿地固碳能力台账。</w:t>
            </w:r>
          </w:p>
          <w:p>
            <w:pPr>
              <w:spacing w:line="32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加强林业生态系统管护，配合市级部门研究建立适合本地生态系统的有机物排放树种库。新建改扩建绿地5万平方米。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年底前</w:t>
            </w:r>
          </w:p>
        </w:tc>
        <w:tc>
          <w:tcPr>
            <w:tcW w:w="2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区园林绿化局</w:t>
            </w:r>
          </w:p>
        </w:tc>
        <w:tc>
          <w:tcPr>
            <w:tcW w:w="2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各街道（地区）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15</w:t>
            </w: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加强海绵城市建设</w:t>
            </w:r>
          </w:p>
        </w:tc>
        <w:tc>
          <w:tcPr>
            <w:tcW w:w="6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全面落实“十四五”海绵城市建设规划，全区范围推广开展“海绵校园”“海绵公园”“海绵道路”等海绵城市建设工程。</w:t>
            </w:r>
          </w:p>
          <w:p>
            <w:pPr>
              <w:spacing w:line="32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完善城市基于自然的解决方案，加强绿色斑块、绿色廊道、城市生态安全调控系统、城市人居环境、园林绿化和城市风道建设。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年底前</w:t>
            </w:r>
          </w:p>
        </w:tc>
        <w:tc>
          <w:tcPr>
            <w:tcW w:w="2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区城管委</w:t>
            </w:r>
          </w:p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区园林绿化局</w:t>
            </w:r>
          </w:p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规自分局</w:t>
            </w:r>
          </w:p>
        </w:tc>
        <w:tc>
          <w:tcPr>
            <w:tcW w:w="2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0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hAnsi="黑体"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五、加强应对气候变化保障和能力建设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16</w:t>
            </w: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加强组织领导</w:t>
            </w:r>
          </w:p>
        </w:tc>
        <w:tc>
          <w:tcPr>
            <w:tcW w:w="6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加强应对气候变化工作的统筹和调度，形成分行业管理、推动落实的工作格局。各行业主管部门研究细化本行业应对气候变化措施，扎实推动重点任务落实。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6月底前</w:t>
            </w:r>
          </w:p>
        </w:tc>
        <w:tc>
          <w:tcPr>
            <w:tcW w:w="2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区生态环境局</w:t>
            </w:r>
          </w:p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区相关部门</w:t>
            </w:r>
          </w:p>
        </w:tc>
        <w:tc>
          <w:tcPr>
            <w:tcW w:w="2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17</w:t>
            </w: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强化资金政策支持</w:t>
            </w:r>
          </w:p>
        </w:tc>
        <w:tc>
          <w:tcPr>
            <w:tcW w:w="6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积极争取国家、北京市的资金和政策的支持，营造有利的政策环境，拓宽绿色融资渠道，构建绿色金融体系，对节能减碳的绿色项目、绿色产品等予以适当补贴或贷款贴息支持。积极落实国家和北京市研究制定的投融资政策和价格政策，支持有利于低碳发展的信贷、债券、基金、期货、保险等绿色金融创新实践。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按时间节点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完成</w:t>
            </w:r>
          </w:p>
        </w:tc>
        <w:tc>
          <w:tcPr>
            <w:tcW w:w="2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区财政局</w:t>
            </w:r>
          </w:p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区生态环境局</w:t>
            </w:r>
          </w:p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区发改委</w:t>
            </w:r>
          </w:p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区城管委</w:t>
            </w:r>
          </w:p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8"/>
                <w:szCs w:val="28"/>
              </w:rPr>
              <w:t>区金融办</w:t>
            </w:r>
          </w:p>
        </w:tc>
        <w:tc>
          <w:tcPr>
            <w:tcW w:w="2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  <w:jc w:val="center"/>
        </w:trPr>
        <w:tc>
          <w:tcPr>
            <w:tcW w:w="7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18</w:t>
            </w:r>
          </w:p>
        </w:tc>
        <w:tc>
          <w:tcPr>
            <w:tcW w:w="137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加强宣传教育</w:t>
            </w:r>
          </w:p>
        </w:tc>
        <w:tc>
          <w:tcPr>
            <w:tcW w:w="6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组织开展2023年低碳日、环境日等宣传活动，推动建设科普教育基地和应对气候变化展区，加大应对气候变化宣传力度。</w:t>
            </w:r>
          </w:p>
          <w:p>
            <w:pPr>
              <w:spacing w:line="32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推广高效低碳绿色产品，利用碳普惠等形式，引导市民积极参与垃圾分类、“光盘行动”、义务植树和低碳出行，逐步形成绿色低碳的生活方式和消费理念。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年底前</w:t>
            </w:r>
          </w:p>
        </w:tc>
        <w:tc>
          <w:tcPr>
            <w:tcW w:w="2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区生态环境局</w:t>
            </w:r>
          </w:p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区发改委</w:t>
            </w:r>
          </w:p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区城管委</w:t>
            </w:r>
          </w:p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区委宣传部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开展应对气候变化理论知识、碳市场相关等教育培训，提高各级党员领导干部、企业人员、社会公众应对气候变化知识的培训力度，将应对气候变化纳入干部教育培训的重要内容，提升推动低碳发展本领。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年底前</w:t>
            </w:r>
          </w:p>
        </w:tc>
        <w:tc>
          <w:tcPr>
            <w:tcW w:w="2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区生态环境局</w:t>
            </w:r>
          </w:p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区委组织部</w:t>
            </w:r>
          </w:p>
        </w:tc>
        <w:tc>
          <w:tcPr>
            <w:tcW w:w="2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——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zOWM2ODlkOGIxNDU4YWZhMGU0OGY1MmM0MDZiYjIifQ=="/>
  </w:docVars>
  <w:rsids>
    <w:rsidRoot w:val="74D10526"/>
    <w:rsid w:val="74D1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2662</Words>
  <Characters>2695</Characters>
  <Lines>0</Lines>
  <Paragraphs>0</Paragraphs>
  <TotalTime>0</TotalTime>
  <ScaleCrop>false</ScaleCrop>
  <LinksUpToDate>false</LinksUpToDate>
  <CharactersWithSpaces>2697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2023-05-04T03:46:00Z</dcterms:created>
  <dc:creator>名字不重要</dc:creator>
  <cp:lastModifiedBy>名字不重要</cp:lastModifiedBy>
  <dcterms:modified xsi:type="dcterms:W3CDTF">2023-05-04T03:47:20Z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AEB6AB4BD20941CD803B04B166453049_11</vt:lpwstr>
  </property>
</Properties>
</file>