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="156" w:beforeLines="50" w:after="156" w:afterLines="50" w:line="6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东城区生态保护2024年行动计划</w:t>
      </w:r>
    </w:p>
    <w:bookmarkEnd w:id="0"/>
    <w:tbl>
      <w:tblPr>
        <w:tblStyle w:val="4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87"/>
        <w:gridCol w:w="7125"/>
        <w:gridCol w:w="1238"/>
        <w:gridCol w:w="2187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重点任务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工作措施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完成时限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牵头部门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一、生态环境质量状况目标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目标任务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东城区生态环境质量指数（EI）力争稳中向好。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二、强化生物多样性保护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强化外来入侵物种防控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加强外来入侵物种防控，重点做好苹果蠹蛾、草地贪夜蛾、福寿螺以及松材线虫、美国白蛾、牛蛙等外来入侵物种的监测与综合治理。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保护重点生物遗传资源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配合北京市加强重点林草种质资源保护，加强种质资源保护管理。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加强监测评估和执法检查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配合北京市完成2024年鸟类、鱼类、大型真菌等生物多样性调查，开展良好生态环境指示物种观测工作。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按照全市统一标准和方法，因地制宜开展生物多样性本底调查和数据共享，形成市区互补、区级协同的工作机制。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依法查处破坏陆生野生动植物资源及栖息地、侵占和破坏林木种质资源等违法行为。对陆生野生动物及其制品交易进行监督检查。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东城公安分局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9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三、维护生态空间格局稳定性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加强重要生态空间监督管理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加强生态保护红线管理，严格落实国土空间用途管制，规范管控对生态功能不造成破坏的有限人为活动。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统筹推进实施生态保护修复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配合北京市探索开展国土空间生态修复规划实施体检评估，形成试评估报告。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推进园林绿化“增绿提质”及自然带营建工作。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建设口袋公园及小微绿地2处。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因地制宜开展湿地修复，加强湿地保护工作。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9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四、促进生态保护可持续发展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推进区域生态协同治理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加大京津冀联合工作力度。积极推进京津冀林木良种备案互认工作，协同防控美国白蛾、松材线虫等有害生物。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开展生态环境质量评价与应用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配合北京市开展生态环境质量评价和应用，客观反映生态环境质量状况及变化趋势。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探索性建立生态环境质量指数统筹协调工作机制，对生态用地变化线索组织开展实地核查，提升生态保护精细化水平。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开展GEP-R核算和应用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落实《北京市生态系统调节服务价值（GEP-R）核算方案》，配合北京市做好年度GEP-R核算工作。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区发展改革委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区统计局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以生态保护为导向，稳步推进GEP-R核算结果在生态保护补偿等中的应用。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区发展改革委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区财政局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开展森林城市创建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落实本市森林城市发展规划要求，持续推动全域森林城市创建。推进建成区绿视率稳中有升。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持续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推进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</w:tbl>
    <w:p/>
    <w:p/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1440" w:bottom="1474" w:left="1440" w:header="851" w:footer="850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35 -</w:t>
    </w:r>
    <w:r>
      <w:rPr>
        <w:sz w:val="28"/>
        <w:szCs w:val="28"/>
      </w:rPr>
      <w:fldChar w:fldCharType="end"/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34 -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266670FA"/>
    <w:rsid w:val="266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2024-04-09T09:29:00Z</dcterms:created>
  <dc:creator>名字不重要</dc:creator>
  <cp:lastModifiedBy>名字不重要</cp:lastModifiedBy>
  <dcterms:modified xsi:type="dcterms:W3CDTF">2024-04-09T09:29:21Z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1C4ACE950B584266962F7629ECEEE6E1_11</vt:lpwstr>
  </property>
</Properties>
</file>