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方正小标宋简体" w:hAnsi="黑体" w:eastAsia="方正小标宋简体" w:cs="方正小标宋简体"/>
          <w:sz w:val="32"/>
          <w:szCs w:val="32"/>
        </w:rPr>
      </w:pPr>
      <w:bookmarkStart w:id="0" w:name="_GoBack"/>
      <w:r>
        <w:rPr>
          <w:rFonts w:hint="eastAsia" w:ascii="黑体" w:hAnsi="黑体" w:eastAsia="黑体" w:cs="黑体"/>
          <w:sz w:val="32"/>
          <w:szCs w:val="32"/>
        </w:rPr>
        <w:t>附件2</w:t>
      </w:r>
    </w:p>
    <w:p>
      <w:pPr>
        <w:spacing w:before="156" w:beforeLines="50" w:after="156" w:afterLines="50" w:line="680" w:lineRule="exact"/>
        <w:jc w:val="center"/>
        <w:rPr>
          <w:rFonts w:ascii="方正小标宋简体" w:hAnsi="方正小标宋简体" w:eastAsia="方正小标宋简体" w:cs="方正小标宋简体"/>
          <w:color w:val="000000"/>
          <w:sz w:val="40"/>
          <w:szCs w:val="40"/>
        </w:rPr>
      </w:pPr>
      <w:r>
        <w:rPr>
          <w:rFonts w:hint="eastAsia" w:ascii="方正小标宋简体" w:hAnsi="方正小标宋简体" w:eastAsia="方正小标宋简体" w:cs="方正小标宋简体"/>
          <w:color w:val="000000"/>
          <w:sz w:val="40"/>
          <w:szCs w:val="40"/>
        </w:rPr>
        <w:t>东城区碧水保卫战2024年行动计划</w:t>
      </w:r>
    </w:p>
    <w:bookmarkEnd w:id="0"/>
    <w:tbl>
      <w:tblPr>
        <w:tblStyle w:val="2"/>
        <w:tblW w:w="14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00"/>
        <w:gridCol w:w="6415"/>
        <w:gridCol w:w="1135"/>
        <w:gridCol w:w="2218"/>
        <w:gridCol w:w="15"/>
        <w:gridCol w:w="2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blHeade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黑体" w:hAnsi="黑体" w:eastAsia="黑体" w:cs="黑体"/>
                <w:kern w:val="0"/>
                <w:szCs w:val="21"/>
              </w:rPr>
            </w:pPr>
            <w:r>
              <w:rPr>
                <w:rFonts w:hint="eastAsia" w:ascii="黑体" w:hAnsi="黑体" w:eastAsia="黑体" w:cs="黑体"/>
                <w:kern w:val="0"/>
                <w:szCs w:val="21"/>
              </w:rPr>
              <w:t>序号</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黑体" w:hAnsi="黑体" w:eastAsia="黑体" w:cs="黑体"/>
                <w:kern w:val="0"/>
                <w:szCs w:val="21"/>
              </w:rPr>
            </w:pPr>
            <w:r>
              <w:rPr>
                <w:rFonts w:hint="eastAsia" w:ascii="黑体" w:hAnsi="黑体" w:eastAsia="黑体" w:cs="黑体"/>
                <w:kern w:val="0"/>
                <w:szCs w:val="21"/>
              </w:rPr>
              <w:t>重点任务</w:t>
            </w:r>
          </w:p>
        </w:tc>
        <w:tc>
          <w:tcPr>
            <w:tcW w:w="641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黑体" w:hAnsi="黑体" w:eastAsia="黑体" w:cs="黑体"/>
                <w:kern w:val="0"/>
                <w:szCs w:val="21"/>
              </w:rPr>
            </w:pPr>
            <w:r>
              <w:rPr>
                <w:rFonts w:hint="eastAsia" w:ascii="黑体" w:hAnsi="黑体" w:eastAsia="黑体" w:cs="黑体"/>
                <w:kern w:val="0"/>
                <w:szCs w:val="21"/>
              </w:rPr>
              <w:t>工作措施</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黑体" w:hAnsi="黑体" w:eastAsia="黑体" w:cs="黑体"/>
                <w:kern w:val="0"/>
                <w:szCs w:val="21"/>
              </w:rPr>
            </w:pPr>
            <w:r>
              <w:rPr>
                <w:rFonts w:hint="eastAsia" w:ascii="黑体" w:hAnsi="黑体" w:eastAsia="黑体" w:cs="黑体"/>
                <w:kern w:val="0"/>
                <w:szCs w:val="21"/>
              </w:rPr>
              <w:t>完成时限</w:t>
            </w:r>
          </w:p>
        </w:tc>
        <w:tc>
          <w:tcPr>
            <w:tcW w:w="223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黑体" w:hAnsi="黑体" w:eastAsia="黑体" w:cs="黑体"/>
                <w:kern w:val="0"/>
                <w:szCs w:val="21"/>
              </w:rPr>
            </w:pPr>
            <w:r>
              <w:rPr>
                <w:rFonts w:hint="eastAsia" w:ascii="黑体" w:hAnsi="黑体" w:eastAsia="黑体" w:cs="黑体"/>
                <w:kern w:val="0"/>
                <w:szCs w:val="21"/>
              </w:rPr>
              <w:t>牵头部门</w:t>
            </w:r>
          </w:p>
        </w:tc>
        <w:tc>
          <w:tcPr>
            <w:tcW w:w="251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黑体" w:hAnsi="黑体" w:eastAsia="黑体" w:cs="黑体"/>
                <w:kern w:val="0"/>
                <w:szCs w:val="21"/>
              </w:rPr>
            </w:pPr>
            <w:r>
              <w:rPr>
                <w:rFonts w:hint="eastAsia" w:ascii="黑体" w:hAnsi="黑体" w:eastAsia="黑体" w:cs="黑体"/>
                <w:kern w:val="0"/>
                <w:szCs w:val="21"/>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14318"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Cs w:val="21"/>
              </w:rPr>
              <w:t>一、水环境质量目标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6" w:hRule="atLeast"/>
          <w:jc w:val="center"/>
        </w:trPr>
        <w:tc>
          <w:tcPr>
            <w:tcW w:w="816" w:type="dxa"/>
            <w:tcBorders>
              <w:top w:val="single" w:color="auto" w:sz="4" w:space="0"/>
              <w:left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1200" w:type="dxa"/>
            <w:tcBorders>
              <w:top w:val="single" w:color="auto" w:sz="4" w:space="0"/>
              <w:left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目标任务</w:t>
            </w:r>
          </w:p>
        </w:tc>
        <w:tc>
          <w:tcPr>
            <w:tcW w:w="6415"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全区水生态环境质量稳中向好。地表水市考断面北护城河东直门桥、南护城河东便门、筒子河文化宫达到Ⅲ类水质，龙潭东湖达到Ⅳ类水质。饮用水水源地水质保持稳定达标。地下水水质总体保持稳定。</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年底前</w:t>
            </w:r>
          </w:p>
        </w:tc>
        <w:tc>
          <w:tcPr>
            <w:tcW w:w="223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区城市管理委</w:t>
            </w:r>
          </w:p>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区园林绿化局</w:t>
            </w:r>
          </w:p>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区生态环境局</w:t>
            </w:r>
          </w:p>
        </w:tc>
        <w:tc>
          <w:tcPr>
            <w:tcW w:w="251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区财政局</w:t>
            </w:r>
          </w:p>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各街道（地区）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4318"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Cs w:val="21"/>
              </w:rPr>
              <w:t>二、水资源保护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816" w:type="dxa"/>
            <w:vMerge w:val="restart"/>
            <w:tcBorders>
              <w:left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1200" w:type="dxa"/>
            <w:vMerge w:val="restart"/>
            <w:tcBorders>
              <w:left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加强饮用水保护</w:t>
            </w:r>
          </w:p>
        </w:tc>
        <w:tc>
          <w:tcPr>
            <w:tcW w:w="6415"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加强水源保护巡查，确保水源井周边30米范围内无污水、无垃圾、无厕所、无养殖粪污等污染源。</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长期实施</w:t>
            </w:r>
          </w:p>
        </w:tc>
        <w:tc>
          <w:tcPr>
            <w:tcW w:w="22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区城市管理委</w:t>
            </w:r>
          </w:p>
        </w:tc>
        <w:tc>
          <w:tcPr>
            <w:tcW w:w="253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和平里街道</w:t>
            </w:r>
          </w:p>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市自来水集团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816" w:type="dxa"/>
            <w:vMerge w:val="continue"/>
            <w:tcBorders>
              <w:left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p>
        </w:tc>
        <w:tc>
          <w:tcPr>
            <w:tcW w:w="1200" w:type="dxa"/>
            <w:vMerge w:val="continue"/>
            <w:tcBorders>
              <w:left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p>
        </w:tc>
        <w:tc>
          <w:tcPr>
            <w:tcW w:w="6415"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配合北京市开展饮用水水源地环境状况年度调查评估。</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年底前</w:t>
            </w:r>
          </w:p>
        </w:tc>
        <w:tc>
          <w:tcPr>
            <w:tcW w:w="22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区生态环境局</w:t>
            </w:r>
          </w:p>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区城市管理委</w:t>
            </w:r>
          </w:p>
        </w:tc>
        <w:tc>
          <w:tcPr>
            <w:tcW w:w="253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和平里街道</w:t>
            </w:r>
          </w:p>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市自来水集团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6" w:hRule="atLeast"/>
          <w:jc w:val="center"/>
        </w:trPr>
        <w:tc>
          <w:tcPr>
            <w:tcW w:w="816" w:type="dxa"/>
            <w:vMerge w:val="continue"/>
            <w:tcBorders>
              <w:left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p>
        </w:tc>
        <w:tc>
          <w:tcPr>
            <w:tcW w:w="1200" w:type="dxa"/>
            <w:vMerge w:val="continue"/>
            <w:tcBorders>
              <w:left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p>
        </w:tc>
        <w:tc>
          <w:tcPr>
            <w:tcW w:w="6415"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开展水源地专项执法和日常监管，加强“三监联动”，动态清理整治水源保护区内影响水源安全的排污口、垃圾堆放等环境问题。因地制宜完善水源保护区（水源井）封闭隔离设施和标志标识牌。加强饮用水源地保护区风险防范和应急管理。</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长期实施</w:t>
            </w:r>
          </w:p>
        </w:tc>
        <w:tc>
          <w:tcPr>
            <w:tcW w:w="22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区生态环境局</w:t>
            </w:r>
          </w:p>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区城市管理委</w:t>
            </w:r>
          </w:p>
        </w:tc>
        <w:tc>
          <w:tcPr>
            <w:tcW w:w="253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和平里街道</w:t>
            </w:r>
          </w:p>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市自来水集团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816" w:type="dxa"/>
            <w:vMerge w:val="restart"/>
            <w:tcBorders>
              <w:top w:val="single" w:color="auto" w:sz="4" w:space="0"/>
              <w:left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1200" w:type="dxa"/>
            <w:vMerge w:val="restart"/>
            <w:tcBorders>
              <w:top w:val="single" w:color="auto" w:sz="4" w:space="0"/>
              <w:left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加强地下水保护</w:t>
            </w:r>
          </w:p>
        </w:tc>
        <w:tc>
          <w:tcPr>
            <w:tcW w:w="6415"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落实辖区地下水水质保持方案，确保地下水质保持稳定。</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长期实施</w:t>
            </w:r>
          </w:p>
        </w:tc>
        <w:tc>
          <w:tcPr>
            <w:tcW w:w="22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区生态环境局</w:t>
            </w:r>
          </w:p>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区城市管理委</w:t>
            </w:r>
          </w:p>
        </w:tc>
        <w:tc>
          <w:tcPr>
            <w:tcW w:w="253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816" w:type="dxa"/>
            <w:vMerge w:val="continue"/>
            <w:tcBorders>
              <w:left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p>
        </w:tc>
        <w:tc>
          <w:tcPr>
            <w:tcW w:w="1200" w:type="dxa"/>
            <w:vMerge w:val="continue"/>
            <w:tcBorders>
              <w:left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p>
        </w:tc>
        <w:tc>
          <w:tcPr>
            <w:tcW w:w="6415"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对辖区地下水污染风险监控点开展丰、枯水期监测。</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年底前</w:t>
            </w:r>
          </w:p>
        </w:tc>
        <w:tc>
          <w:tcPr>
            <w:tcW w:w="22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区生态环境局</w:t>
            </w:r>
          </w:p>
        </w:tc>
        <w:tc>
          <w:tcPr>
            <w:tcW w:w="253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atLeast"/>
          <w:jc w:val="center"/>
        </w:trPr>
        <w:tc>
          <w:tcPr>
            <w:tcW w:w="816" w:type="dxa"/>
            <w:vMerge w:val="continue"/>
            <w:tcBorders>
              <w:left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8"/>
                <w:szCs w:val="28"/>
              </w:rPr>
            </w:pPr>
          </w:p>
        </w:tc>
        <w:tc>
          <w:tcPr>
            <w:tcW w:w="1200" w:type="dxa"/>
            <w:vMerge w:val="continue"/>
            <w:tcBorders>
              <w:left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8"/>
                <w:szCs w:val="28"/>
              </w:rPr>
            </w:pPr>
          </w:p>
        </w:tc>
        <w:tc>
          <w:tcPr>
            <w:tcW w:w="6415"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推进地下水超采治理，落实《北京市地下水超采综合治理实施方案2023-2025年》，加强地下水水源涵养和保护。</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年底前</w:t>
            </w:r>
          </w:p>
        </w:tc>
        <w:tc>
          <w:tcPr>
            <w:tcW w:w="22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区城市管理委</w:t>
            </w:r>
          </w:p>
        </w:tc>
        <w:tc>
          <w:tcPr>
            <w:tcW w:w="253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816" w:type="dxa"/>
            <w:vMerge w:val="continue"/>
            <w:tcBorders>
              <w:left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8"/>
                <w:szCs w:val="28"/>
              </w:rPr>
            </w:pPr>
          </w:p>
        </w:tc>
        <w:tc>
          <w:tcPr>
            <w:tcW w:w="1200" w:type="dxa"/>
            <w:vMerge w:val="continue"/>
            <w:tcBorders>
              <w:left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8"/>
                <w:szCs w:val="28"/>
              </w:rPr>
            </w:pPr>
          </w:p>
        </w:tc>
        <w:tc>
          <w:tcPr>
            <w:tcW w:w="6415"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配合北京市研究制定地下水污染风险源分类分级管理办法并完成地下水风险源信息调查工作。</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年底前</w:t>
            </w:r>
          </w:p>
        </w:tc>
        <w:tc>
          <w:tcPr>
            <w:tcW w:w="22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区生态环境局</w:t>
            </w:r>
          </w:p>
        </w:tc>
        <w:tc>
          <w:tcPr>
            <w:tcW w:w="253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816" w:type="dxa"/>
            <w:vMerge w:val="restart"/>
            <w:tcBorders>
              <w:left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1200" w:type="dxa"/>
            <w:vMerge w:val="restart"/>
            <w:tcBorders>
              <w:left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节水型社会创建</w:t>
            </w:r>
          </w:p>
        </w:tc>
        <w:tc>
          <w:tcPr>
            <w:tcW w:w="6415"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持续推进节水型社会建设，完成东城区生产生活用水总量目标。</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年底前</w:t>
            </w:r>
          </w:p>
        </w:tc>
        <w:tc>
          <w:tcPr>
            <w:tcW w:w="22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区城市管理委</w:t>
            </w:r>
          </w:p>
        </w:tc>
        <w:tc>
          <w:tcPr>
            <w:tcW w:w="253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816" w:type="dxa"/>
            <w:vMerge w:val="continue"/>
            <w:tcBorders>
              <w:left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8"/>
                <w:szCs w:val="28"/>
              </w:rPr>
            </w:pPr>
          </w:p>
        </w:tc>
        <w:tc>
          <w:tcPr>
            <w:tcW w:w="1200" w:type="dxa"/>
            <w:vMerge w:val="continue"/>
            <w:tcBorders>
              <w:left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8"/>
                <w:szCs w:val="28"/>
              </w:rPr>
            </w:pPr>
          </w:p>
        </w:tc>
        <w:tc>
          <w:tcPr>
            <w:tcW w:w="6415"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进一步加强用水总量管控，提高用水效率。结合本辖区用水实际情况，将用水总量进一步分解下达至各街道（地区），并细化管控措施。</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年底前</w:t>
            </w:r>
          </w:p>
        </w:tc>
        <w:tc>
          <w:tcPr>
            <w:tcW w:w="223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区城市管理委</w:t>
            </w:r>
          </w:p>
        </w:tc>
        <w:tc>
          <w:tcPr>
            <w:tcW w:w="251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各街道（地区）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318"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Cs w:val="21"/>
              </w:rPr>
              <w:t>三、水环境治理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atLeast"/>
          <w:jc w:val="center"/>
        </w:trPr>
        <w:tc>
          <w:tcPr>
            <w:tcW w:w="816" w:type="dxa"/>
            <w:tcBorders>
              <w:left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5</w:t>
            </w:r>
          </w:p>
        </w:tc>
        <w:tc>
          <w:tcPr>
            <w:tcW w:w="1200" w:type="dxa"/>
            <w:tcBorders>
              <w:left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强化生活污染治理</w:t>
            </w:r>
          </w:p>
        </w:tc>
        <w:tc>
          <w:tcPr>
            <w:tcW w:w="6415"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强化再生水配置利用能力，推进实施试点公园、绿地再生水输配水管线建设。</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年底前</w:t>
            </w:r>
          </w:p>
        </w:tc>
        <w:tc>
          <w:tcPr>
            <w:tcW w:w="223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区城市管理委</w:t>
            </w:r>
          </w:p>
        </w:tc>
        <w:tc>
          <w:tcPr>
            <w:tcW w:w="251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区发展改革委</w:t>
            </w:r>
          </w:p>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东城规自分局</w:t>
            </w:r>
          </w:p>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区园林绿化局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816" w:type="dxa"/>
            <w:vMerge w:val="restart"/>
            <w:tcBorders>
              <w:left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6</w:t>
            </w:r>
          </w:p>
        </w:tc>
        <w:tc>
          <w:tcPr>
            <w:tcW w:w="1200" w:type="dxa"/>
            <w:vMerge w:val="restart"/>
            <w:tcBorders>
              <w:left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加强汛期污染防治</w:t>
            </w:r>
          </w:p>
        </w:tc>
        <w:tc>
          <w:tcPr>
            <w:tcW w:w="6415"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加大雨污混接错接巡查整治力度，实现雨污混流动态清零。制定实施雨污混接错接排查治理方案。</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年底前</w:t>
            </w:r>
          </w:p>
        </w:tc>
        <w:tc>
          <w:tcPr>
            <w:tcW w:w="223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区城市管理委</w:t>
            </w:r>
          </w:p>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区住房城市建设委</w:t>
            </w:r>
          </w:p>
        </w:tc>
        <w:tc>
          <w:tcPr>
            <w:tcW w:w="251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市排水集团</w:t>
            </w:r>
          </w:p>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各街道（地区）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816" w:type="dxa"/>
            <w:vMerge w:val="continue"/>
            <w:tcBorders>
              <w:left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p>
        </w:tc>
        <w:tc>
          <w:tcPr>
            <w:tcW w:w="1200" w:type="dxa"/>
            <w:vMerge w:val="continue"/>
            <w:tcBorders>
              <w:left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p>
        </w:tc>
        <w:tc>
          <w:tcPr>
            <w:tcW w:w="6415"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汛前持续开展“清管行动”。提前对雨水管涵、雨污合流管涵、雨水口（雨箅子）等进行全面清掏并加大巡查、清理力度。</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9月底前</w:t>
            </w:r>
          </w:p>
        </w:tc>
        <w:tc>
          <w:tcPr>
            <w:tcW w:w="223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区城市管理委</w:t>
            </w:r>
          </w:p>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区住房城市建设委</w:t>
            </w:r>
          </w:p>
        </w:tc>
        <w:tc>
          <w:tcPr>
            <w:tcW w:w="251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市排水集团</w:t>
            </w:r>
          </w:p>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各街道（地区）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816" w:type="dxa"/>
            <w:vMerge w:val="continue"/>
            <w:tcBorders>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p>
        </w:tc>
        <w:tc>
          <w:tcPr>
            <w:tcW w:w="1200" w:type="dxa"/>
            <w:vMerge w:val="continue"/>
            <w:tcBorders>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p>
        </w:tc>
        <w:tc>
          <w:tcPr>
            <w:tcW w:w="6415"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加强汛期河湖水环境精细化管理，雨后24小时内对国考、市考断面所在重点水体及时清理垃圾、漂浮物。开展雨后入河排口排污检查，严厉打击污水直排、借雨偷排行为。</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长期实施</w:t>
            </w:r>
          </w:p>
        </w:tc>
        <w:tc>
          <w:tcPr>
            <w:tcW w:w="223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区城市管理委</w:t>
            </w:r>
          </w:p>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区园林绿化局</w:t>
            </w:r>
          </w:p>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区生态环境局</w:t>
            </w:r>
          </w:p>
        </w:tc>
        <w:tc>
          <w:tcPr>
            <w:tcW w:w="251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市河湖管理处</w:t>
            </w:r>
          </w:p>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各街道（地区）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816" w:type="dxa"/>
            <w:vMerge w:val="restart"/>
            <w:tcBorders>
              <w:top w:val="single" w:color="auto" w:sz="4" w:space="0"/>
              <w:left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7</w:t>
            </w:r>
          </w:p>
        </w:tc>
        <w:tc>
          <w:tcPr>
            <w:tcW w:w="1200" w:type="dxa"/>
            <w:vMerge w:val="restart"/>
            <w:tcBorders>
              <w:top w:val="single" w:color="auto" w:sz="4" w:space="0"/>
              <w:left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加强工业污染防治</w:t>
            </w:r>
          </w:p>
        </w:tc>
        <w:tc>
          <w:tcPr>
            <w:tcW w:w="6415"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加大工业污染防治力度，加强工业企业污水达标排放保障，污水管网实现全覆盖、全收集。</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长期实施</w:t>
            </w:r>
          </w:p>
        </w:tc>
        <w:tc>
          <w:tcPr>
            <w:tcW w:w="223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区生态环境局</w:t>
            </w:r>
          </w:p>
        </w:tc>
        <w:tc>
          <w:tcPr>
            <w:tcW w:w="251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区经信局</w:t>
            </w:r>
          </w:p>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区城市管理委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2" w:hRule="atLeast"/>
          <w:jc w:val="center"/>
        </w:trPr>
        <w:tc>
          <w:tcPr>
            <w:tcW w:w="816"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8"/>
                <w:szCs w:val="28"/>
              </w:rPr>
            </w:pPr>
          </w:p>
        </w:tc>
        <w:tc>
          <w:tcPr>
            <w:tcW w:w="1200" w:type="dxa"/>
            <w:vMerge w:val="continue"/>
            <w:tcBorders>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8"/>
                <w:szCs w:val="28"/>
              </w:rPr>
            </w:pPr>
          </w:p>
        </w:tc>
        <w:tc>
          <w:tcPr>
            <w:tcW w:w="6415"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开展排污许可证单位执行报告提交率审核。对2021年以来新核发、重新申请排污许可证以及重点行业排污许可证进行许可证质量、2023年度执行报告全覆盖审核，审核总数不少于持证单位总数的三分之一。2023年度执行报告按时提交率达到98%以上。</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长期实施</w:t>
            </w:r>
          </w:p>
        </w:tc>
        <w:tc>
          <w:tcPr>
            <w:tcW w:w="223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区生态环境局</w:t>
            </w:r>
          </w:p>
        </w:tc>
        <w:tc>
          <w:tcPr>
            <w:tcW w:w="251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exact"/>
          <w:jc w:val="center"/>
        </w:trPr>
        <w:tc>
          <w:tcPr>
            <w:tcW w:w="816" w:type="dxa"/>
            <w:vMerge w:val="restart"/>
            <w:tcBorders>
              <w:left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8</w:t>
            </w:r>
          </w:p>
        </w:tc>
        <w:tc>
          <w:tcPr>
            <w:tcW w:w="1200" w:type="dxa"/>
            <w:vMerge w:val="restart"/>
            <w:tcBorders>
              <w:top w:val="single" w:color="auto" w:sz="4" w:space="0"/>
              <w:left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加强入河排污口监管</w:t>
            </w:r>
          </w:p>
        </w:tc>
        <w:tc>
          <w:tcPr>
            <w:tcW w:w="6415"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健全入河排口长效监督管理，建立完善入河排口动态管理台账。</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长期实施</w:t>
            </w:r>
          </w:p>
        </w:tc>
        <w:tc>
          <w:tcPr>
            <w:tcW w:w="223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区生态环境局</w:t>
            </w:r>
          </w:p>
        </w:tc>
        <w:tc>
          <w:tcPr>
            <w:tcW w:w="251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区城市管理委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816" w:type="dxa"/>
            <w:vMerge w:val="continue"/>
            <w:tcBorders>
              <w:left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p>
        </w:tc>
        <w:tc>
          <w:tcPr>
            <w:tcW w:w="1200" w:type="dxa"/>
            <w:vMerge w:val="continue"/>
            <w:tcBorders>
              <w:left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p>
        </w:tc>
        <w:tc>
          <w:tcPr>
            <w:tcW w:w="6415"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巩固排查整治成效，确保违规排污口动态清零。</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长期实施</w:t>
            </w:r>
          </w:p>
        </w:tc>
        <w:tc>
          <w:tcPr>
            <w:tcW w:w="223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区生态环境局</w:t>
            </w:r>
          </w:p>
        </w:tc>
        <w:tc>
          <w:tcPr>
            <w:tcW w:w="251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区城市管理委</w:t>
            </w:r>
          </w:p>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各街道（地区）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exact"/>
          <w:jc w:val="center"/>
        </w:trPr>
        <w:tc>
          <w:tcPr>
            <w:tcW w:w="816" w:type="dxa"/>
            <w:vMerge w:val="continue"/>
            <w:tcBorders>
              <w:left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p>
        </w:tc>
        <w:tc>
          <w:tcPr>
            <w:tcW w:w="1200" w:type="dxa"/>
            <w:vMerge w:val="continue"/>
            <w:tcBorders>
              <w:left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p>
        </w:tc>
        <w:tc>
          <w:tcPr>
            <w:tcW w:w="6415"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加大入河排口监测力度，加强汛期入河排口监测预警。</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长期实施</w:t>
            </w:r>
          </w:p>
        </w:tc>
        <w:tc>
          <w:tcPr>
            <w:tcW w:w="223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区生态环境局</w:t>
            </w:r>
          </w:p>
        </w:tc>
        <w:tc>
          <w:tcPr>
            <w:tcW w:w="251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3" w:hRule="exact"/>
          <w:jc w:val="center"/>
        </w:trPr>
        <w:tc>
          <w:tcPr>
            <w:tcW w:w="816" w:type="dxa"/>
            <w:vMerge w:val="continue"/>
            <w:tcBorders>
              <w:left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p>
        </w:tc>
        <w:tc>
          <w:tcPr>
            <w:tcW w:w="1200" w:type="dxa"/>
            <w:vMerge w:val="continue"/>
            <w:tcBorders>
              <w:left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p>
        </w:tc>
        <w:tc>
          <w:tcPr>
            <w:tcW w:w="6415"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做好入河排污口分级设置审批工作。按照北京市要求上报入河排污口监督管理工作进展。</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长期实施</w:t>
            </w:r>
          </w:p>
        </w:tc>
        <w:tc>
          <w:tcPr>
            <w:tcW w:w="223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区生态环境局</w:t>
            </w:r>
          </w:p>
        </w:tc>
        <w:tc>
          <w:tcPr>
            <w:tcW w:w="251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区城市管理委</w:t>
            </w:r>
          </w:p>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各街道（地区）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exact"/>
          <w:jc w:val="center"/>
        </w:trPr>
        <w:tc>
          <w:tcPr>
            <w:tcW w:w="816" w:type="dxa"/>
            <w:vMerge w:val="continue"/>
            <w:tcBorders>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highlight w:val="yellow"/>
              </w:rPr>
            </w:pPr>
          </w:p>
        </w:tc>
        <w:tc>
          <w:tcPr>
            <w:tcW w:w="1200" w:type="dxa"/>
            <w:vMerge w:val="continue"/>
            <w:tcBorders>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highlight w:val="yellow"/>
              </w:rPr>
            </w:pPr>
          </w:p>
        </w:tc>
        <w:tc>
          <w:tcPr>
            <w:tcW w:w="6415"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对南护城河(左安门桥至广渠门桥段）开展潜在排口排查、水质网格化检测和排口溯源工作。</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年底前</w:t>
            </w:r>
          </w:p>
        </w:tc>
        <w:tc>
          <w:tcPr>
            <w:tcW w:w="223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区生态环境局</w:t>
            </w:r>
          </w:p>
        </w:tc>
        <w:tc>
          <w:tcPr>
            <w:tcW w:w="251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区城市管理委</w:t>
            </w:r>
          </w:p>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相关街道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jc w:val="center"/>
        </w:trPr>
        <w:tc>
          <w:tcPr>
            <w:tcW w:w="816" w:type="dxa"/>
            <w:vMerge w:val="restart"/>
            <w:tcBorders>
              <w:top w:val="single" w:color="auto" w:sz="4" w:space="0"/>
              <w:left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9</w:t>
            </w:r>
          </w:p>
        </w:tc>
        <w:tc>
          <w:tcPr>
            <w:tcW w:w="1200" w:type="dxa"/>
            <w:vMerge w:val="restart"/>
            <w:tcBorders>
              <w:top w:val="single" w:color="auto" w:sz="4" w:space="0"/>
              <w:left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巩固水体整治成效</w:t>
            </w:r>
          </w:p>
        </w:tc>
        <w:tc>
          <w:tcPr>
            <w:tcW w:w="6415"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发挥“河长制”“湖长制”统筹作用，加强汛期面源污染治理、污水直排混排入河巡查力度。</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长期实施</w:t>
            </w:r>
          </w:p>
        </w:tc>
        <w:tc>
          <w:tcPr>
            <w:tcW w:w="223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区城市管理委</w:t>
            </w:r>
          </w:p>
        </w:tc>
        <w:tc>
          <w:tcPr>
            <w:tcW w:w="251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河长制成员单位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9" w:hRule="atLeast"/>
          <w:jc w:val="center"/>
        </w:trPr>
        <w:tc>
          <w:tcPr>
            <w:tcW w:w="816" w:type="dxa"/>
            <w:vMerge w:val="continue"/>
            <w:tcBorders>
              <w:left w:val="single" w:color="auto" w:sz="4" w:space="0"/>
              <w:bottom w:val="single" w:color="auto" w:sz="4" w:space="0"/>
              <w:right w:val="single" w:color="auto" w:sz="4" w:space="0"/>
            </w:tcBorders>
            <w:noWrap w:val="0"/>
            <w:vAlign w:val="center"/>
          </w:tcPr>
          <w:p>
            <w:pPr>
              <w:widowControl/>
              <w:autoSpaceDE w:val="0"/>
              <w:snapToGrid w:val="0"/>
              <w:jc w:val="center"/>
              <w:textAlignment w:val="center"/>
              <w:rPr>
                <w:rFonts w:hint="eastAsia" w:ascii="仿宋_GB2312" w:hAnsi="仿宋_GB2312" w:eastAsia="仿宋_GB2312" w:cs="仿宋_GB2312"/>
                <w:color w:val="000000"/>
                <w:sz w:val="28"/>
                <w:szCs w:val="28"/>
              </w:rPr>
            </w:pPr>
          </w:p>
        </w:tc>
        <w:tc>
          <w:tcPr>
            <w:tcW w:w="1200"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8"/>
                <w:szCs w:val="28"/>
              </w:rPr>
            </w:pPr>
          </w:p>
        </w:tc>
        <w:tc>
          <w:tcPr>
            <w:tcW w:w="6415"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加强污染减排与生态扩容，防止劣Ⅴ类水体反弹，力争实现南护城河、北护城河、筒子河、龙潭东湖优良水体比例（Ⅲ类及以上）100%。</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年底前</w:t>
            </w:r>
          </w:p>
        </w:tc>
        <w:tc>
          <w:tcPr>
            <w:tcW w:w="223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区城市管理委</w:t>
            </w:r>
          </w:p>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区园林绿化局</w:t>
            </w:r>
          </w:p>
        </w:tc>
        <w:tc>
          <w:tcPr>
            <w:tcW w:w="251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区生态环境局</w:t>
            </w:r>
          </w:p>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各街道（地区）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0"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10</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深化流域生态补偿</w:t>
            </w:r>
          </w:p>
        </w:tc>
        <w:tc>
          <w:tcPr>
            <w:tcW w:w="6415"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落实《北京市水生态区域补偿暂行办法》，促进水生态环境质量持续改善。</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年底前</w:t>
            </w:r>
          </w:p>
        </w:tc>
        <w:tc>
          <w:tcPr>
            <w:tcW w:w="223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区城市管理委</w:t>
            </w:r>
          </w:p>
        </w:tc>
        <w:tc>
          <w:tcPr>
            <w:tcW w:w="251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区生态环境局</w:t>
            </w:r>
          </w:p>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816" w:type="dxa"/>
            <w:vMerge w:val="restart"/>
            <w:tcBorders>
              <w:left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11</w:t>
            </w:r>
          </w:p>
        </w:tc>
        <w:tc>
          <w:tcPr>
            <w:tcW w:w="1200" w:type="dxa"/>
            <w:vMerge w:val="restart"/>
            <w:tcBorders>
              <w:left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强化跨部门、跨区域监管执法</w:t>
            </w:r>
          </w:p>
        </w:tc>
        <w:tc>
          <w:tcPr>
            <w:tcW w:w="6415"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巩固多部门联合执法机制，加大环境执法力度。以水环境问题为导向，开展流域“点穴”执法，重点对饮用水水源地、入河排污口等开展专项执法。</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年底前</w:t>
            </w:r>
          </w:p>
        </w:tc>
        <w:tc>
          <w:tcPr>
            <w:tcW w:w="223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区城市管理委</w:t>
            </w:r>
          </w:p>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区生态环境局</w:t>
            </w:r>
          </w:p>
        </w:tc>
        <w:tc>
          <w:tcPr>
            <w:tcW w:w="251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东城公安分局</w:t>
            </w:r>
          </w:p>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各街道（地区）</w:t>
            </w:r>
          </w:p>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市河湖管理处</w:t>
            </w:r>
          </w:p>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市排水集团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jc w:val="center"/>
        </w:trPr>
        <w:tc>
          <w:tcPr>
            <w:tcW w:w="816" w:type="dxa"/>
            <w:vMerge w:val="continue"/>
            <w:tcBorders>
              <w:left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p>
        </w:tc>
        <w:tc>
          <w:tcPr>
            <w:tcW w:w="1200" w:type="dxa"/>
            <w:vMerge w:val="continue"/>
            <w:tcBorders>
              <w:left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p>
        </w:tc>
        <w:tc>
          <w:tcPr>
            <w:tcW w:w="6415"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严厉打击向城市雨水管道排污及倾倒垃圾、向河道倾倒及填埋垃圾等违法行为，切实降低初期雨水污染对河流水质的影响。</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长期实施</w:t>
            </w:r>
          </w:p>
        </w:tc>
        <w:tc>
          <w:tcPr>
            <w:tcW w:w="223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区城市管理委</w:t>
            </w:r>
          </w:p>
        </w:tc>
        <w:tc>
          <w:tcPr>
            <w:tcW w:w="251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各街道（地区）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4318"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Cs w:val="21"/>
              </w:rPr>
              <w:t>四、水生态修复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816" w:type="dxa"/>
            <w:vMerge w:val="restart"/>
            <w:tcBorders>
              <w:top w:val="single" w:color="auto" w:sz="4" w:space="0"/>
              <w:left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12</w:t>
            </w:r>
          </w:p>
        </w:tc>
        <w:tc>
          <w:tcPr>
            <w:tcW w:w="1200" w:type="dxa"/>
            <w:vMerge w:val="restart"/>
            <w:tcBorders>
              <w:top w:val="single" w:color="auto" w:sz="4" w:space="0"/>
              <w:left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保障重点河流生态流量</w:t>
            </w:r>
          </w:p>
        </w:tc>
        <w:tc>
          <w:tcPr>
            <w:tcW w:w="6415"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统筹生活、生产、生态用水配置，加强河湖生态用水保障。推进区域再生水循环利用，鼓励再生水用于河湖生态补水。</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年底前</w:t>
            </w:r>
          </w:p>
        </w:tc>
        <w:tc>
          <w:tcPr>
            <w:tcW w:w="223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区城市管理委</w:t>
            </w:r>
          </w:p>
        </w:tc>
        <w:tc>
          <w:tcPr>
            <w:tcW w:w="251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市排水集团</w:t>
            </w:r>
          </w:p>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区园林绿化局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16" w:type="dxa"/>
            <w:vMerge w:val="continue"/>
            <w:tcBorders>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p>
        </w:tc>
        <w:tc>
          <w:tcPr>
            <w:tcW w:w="1200" w:type="dxa"/>
            <w:vMerge w:val="continue"/>
            <w:tcBorders>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p>
        </w:tc>
        <w:tc>
          <w:tcPr>
            <w:tcW w:w="6415"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建立河流、湖库生态流量保障清单，并纳入河湖长制统一管理。建立生态流量数据共享机制。</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年底前</w:t>
            </w:r>
          </w:p>
        </w:tc>
        <w:tc>
          <w:tcPr>
            <w:tcW w:w="223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区城市管理委</w:t>
            </w:r>
          </w:p>
        </w:tc>
        <w:tc>
          <w:tcPr>
            <w:tcW w:w="251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区园林绿化局</w:t>
            </w:r>
          </w:p>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jc w:val="center"/>
        </w:trPr>
        <w:tc>
          <w:tcPr>
            <w:tcW w:w="816" w:type="dxa"/>
            <w:vMerge w:val="restart"/>
            <w:tcBorders>
              <w:top w:val="single" w:color="auto" w:sz="4" w:space="0"/>
              <w:left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13</w:t>
            </w:r>
          </w:p>
        </w:tc>
        <w:tc>
          <w:tcPr>
            <w:tcW w:w="1200" w:type="dxa"/>
            <w:vMerge w:val="restart"/>
            <w:tcBorders>
              <w:top w:val="single" w:color="auto" w:sz="4" w:space="0"/>
              <w:left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加强生态环境监测</w:t>
            </w:r>
          </w:p>
        </w:tc>
        <w:tc>
          <w:tcPr>
            <w:tcW w:w="6415"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开展水生态环境状况监测评价，对重点河湖断面进行水生态系统调查评估，监测评价水环境理化指标、生境指标、生物指标。</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年底前</w:t>
            </w:r>
          </w:p>
        </w:tc>
        <w:tc>
          <w:tcPr>
            <w:tcW w:w="223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区生态环境局</w:t>
            </w:r>
          </w:p>
        </w:tc>
        <w:tc>
          <w:tcPr>
            <w:tcW w:w="251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区园林绿化局</w:t>
            </w:r>
          </w:p>
          <w:p>
            <w:pPr>
              <w:snapToGrid w:val="0"/>
              <w:jc w:val="center"/>
              <w:rPr>
                <w:rFonts w:hint="eastAsia" w:ascii="仿宋_GB2312" w:hAnsi="仿宋_GB2312" w:eastAsia="仿宋_GB2312" w:cs="仿宋_GB2312"/>
              </w:rPr>
            </w:pPr>
            <w:r>
              <w:rPr>
                <w:rFonts w:hint="eastAsia" w:ascii="仿宋_GB2312" w:hAnsi="仿宋_GB2312" w:eastAsia="仿宋_GB2312" w:cs="仿宋_GB2312"/>
                <w:szCs w:val="21"/>
              </w:rPr>
              <w:t>区城市管理委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6" w:hRule="atLeast"/>
          <w:jc w:val="center"/>
        </w:trPr>
        <w:tc>
          <w:tcPr>
            <w:tcW w:w="816" w:type="dxa"/>
            <w:vMerge w:val="continue"/>
            <w:tcBorders>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p>
        </w:tc>
        <w:tc>
          <w:tcPr>
            <w:tcW w:w="1200" w:type="dxa"/>
            <w:vMerge w:val="continue"/>
            <w:tcBorders>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p>
        </w:tc>
        <w:tc>
          <w:tcPr>
            <w:tcW w:w="6415"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大力推进区级生态环境监测机构基础站、特色站监测能力建设，开展基础站达标评估，提高监测数据支撑能力。</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年底前</w:t>
            </w:r>
          </w:p>
        </w:tc>
        <w:tc>
          <w:tcPr>
            <w:tcW w:w="223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区生态环境局</w:t>
            </w:r>
          </w:p>
        </w:tc>
        <w:tc>
          <w:tcPr>
            <w:tcW w:w="251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区财政局</w:t>
            </w:r>
          </w:p>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区市场监管局</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OGI4MTZhNzk4MGQ1OGVmZWE4MmVhYTY5YTNmMDAifQ=="/>
  </w:docVars>
  <w:rsids>
    <w:rsidRoot w:val="069A2858"/>
    <w:rsid w:val="069A2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2024-04-09T09:27:00Z</dcterms:created>
  <dc:creator>名字不重要</dc:creator>
  <cp:lastModifiedBy>名字不重要</cp:lastModifiedBy>
  <dcterms:modified xsi:type="dcterms:W3CDTF">2024-04-09T09:27:51Z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F4BE53639F264589B7F000244673A9C0_11</vt:lpwstr>
  </property>
</Properties>
</file>